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4CE62" w14:textId="77777777" w:rsidR="00AC3066" w:rsidRPr="00E228E8" w:rsidRDefault="003019D6">
      <w:pPr>
        <w:contextualSpacing/>
        <w:jc w:val="center"/>
        <w:outlineLvl w:val="3"/>
        <w:rPr>
          <w:sz w:val="28"/>
          <w:szCs w:val="28"/>
        </w:rPr>
      </w:pPr>
      <w:r w:rsidRPr="00E228E8">
        <w:rPr>
          <w:b/>
          <w:bCs/>
          <w:sz w:val="28"/>
          <w:szCs w:val="28"/>
        </w:rPr>
        <w:t>M</w:t>
      </w:r>
      <w:r w:rsidR="00DE655A" w:rsidRPr="00E228E8">
        <w:rPr>
          <w:b/>
          <w:bCs/>
          <w:sz w:val="28"/>
          <w:szCs w:val="28"/>
        </w:rPr>
        <w:t xml:space="preserve">inistru kabineta noteikumu projekta “Noteikumi par </w:t>
      </w:r>
      <w:bookmarkStart w:id="0" w:name="_Hlk18432159"/>
      <w:r w:rsidR="00DE655A" w:rsidRPr="00E228E8">
        <w:rPr>
          <w:b/>
          <w:bCs/>
          <w:sz w:val="28"/>
          <w:szCs w:val="28"/>
        </w:rPr>
        <w:t xml:space="preserve">valsts </w:t>
      </w:r>
      <w:r w:rsidR="005E4A5F" w:rsidRPr="00E228E8">
        <w:rPr>
          <w:b/>
          <w:bCs/>
          <w:sz w:val="28"/>
          <w:szCs w:val="28"/>
        </w:rPr>
        <w:t xml:space="preserve">dzīvojamo māju </w:t>
      </w:r>
      <w:r w:rsidR="00DE655A" w:rsidRPr="00E228E8">
        <w:rPr>
          <w:b/>
          <w:bCs/>
          <w:sz w:val="28"/>
          <w:szCs w:val="28"/>
        </w:rPr>
        <w:t xml:space="preserve">privatizāciju veicošās institūcijas pārvaldes uzdevuma </w:t>
      </w:r>
      <w:bookmarkEnd w:id="0"/>
      <w:r w:rsidR="00DE655A" w:rsidRPr="00E228E8">
        <w:rPr>
          <w:b/>
          <w:bCs/>
          <w:sz w:val="28"/>
          <w:szCs w:val="28"/>
        </w:rPr>
        <w:t>deleģēšanu” sākotnējās ietekmes novērtējuma ziņojums (anotācija)</w:t>
      </w:r>
    </w:p>
    <w:p w14:paraId="5F3E6908" w14:textId="77777777" w:rsidR="00AC3066" w:rsidRPr="003019D6" w:rsidRDefault="00AC3066">
      <w:pPr>
        <w:contextualSpacing/>
        <w:outlineLvl w:val="3"/>
        <w:rPr>
          <w:b/>
          <w:bCs/>
        </w:rPr>
      </w:pPr>
    </w:p>
    <w:tbl>
      <w:tblPr>
        <w:tblW w:w="9297" w:type="dxa"/>
        <w:tblInd w:w="-113" w:type="dxa"/>
        <w:tblLook w:val="0000" w:firstRow="0" w:lastRow="0" w:firstColumn="0" w:lastColumn="0" w:noHBand="0" w:noVBand="0"/>
      </w:tblPr>
      <w:tblGrid>
        <w:gridCol w:w="2943"/>
        <w:gridCol w:w="6354"/>
      </w:tblGrid>
      <w:tr w:rsidR="00AC3066" w:rsidRPr="00E228E8" w14:paraId="37C7DB9A" w14:textId="77777777">
        <w:tc>
          <w:tcPr>
            <w:tcW w:w="9297" w:type="dxa"/>
            <w:gridSpan w:val="2"/>
            <w:tcBorders>
              <w:top w:val="single" w:sz="4" w:space="0" w:color="000000"/>
              <w:left w:val="single" w:sz="4" w:space="0" w:color="000000"/>
              <w:bottom w:val="single" w:sz="4" w:space="0" w:color="000000"/>
              <w:right w:val="single" w:sz="4" w:space="0" w:color="000000"/>
            </w:tcBorders>
            <w:shd w:val="clear" w:color="auto" w:fill="auto"/>
          </w:tcPr>
          <w:p w14:paraId="7850332A" w14:textId="77777777" w:rsidR="00AC3066" w:rsidRPr="00E228E8" w:rsidRDefault="00DE655A">
            <w:pPr>
              <w:contextualSpacing/>
              <w:jc w:val="center"/>
              <w:rPr>
                <w:b/>
                <w:sz w:val="28"/>
                <w:szCs w:val="28"/>
              </w:rPr>
            </w:pPr>
            <w:r w:rsidRPr="00E228E8">
              <w:rPr>
                <w:b/>
                <w:sz w:val="28"/>
                <w:szCs w:val="28"/>
              </w:rPr>
              <w:t>Tiesību akta projekta anotācijas kopsavilkums</w:t>
            </w:r>
          </w:p>
        </w:tc>
      </w:tr>
      <w:tr w:rsidR="00AC3066" w:rsidRPr="00E228E8" w14:paraId="09672A89" w14:textId="77777777">
        <w:tc>
          <w:tcPr>
            <w:tcW w:w="2943" w:type="dxa"/>
            <w:tcBorders>
              <w:top w:val="single" w:sz="4" w:space="0" w:color="000000"/>
              <w:left w:val="single" w:sz="4" w:space="0" w:color="000000"/>
              <w:bottom w:val="single" w:sz="4" w:space="0" w:color="000000"/>
            </w:tcBorders>
            <w:shd w:val="clear" w:color="auto" w:fill="auto"/>
          </w:tcPr>
          <w:p w14:paraId="09407AD7" w14:textId="77777777" w:rsidR="00AC3066" w:rsidRPr="00E228E8" w:rsidRDefault="00DE655A">
            <w:pPr>
              <w:contextualSpacing/>
              <w:jc w:val="both"/>
              <w:rPr>
                <w:sz w:val="28"/>
                <w:szCs w:val="28"/>
              </w:rPr>
            </w:pPr>
            <w:r w:rsidRPr="00E228E8">
              <w:rPr>
                <w:sz w:val="28"/>
                <w:szCs w:val="28"/>
              </w:rPr>
              <w:t xml:space="preserve">Mērķis, risinājums un projekta spēkā stāšanās laiks </w:t>
            </w:r>
            <w:r w:rsidRPr="00E228E8">
              <w:rPr>
                <w:iCs/>
                <w:sz w:val="28"/>
                <w:szCs w:val="28"/>
              </w:rPr>
              <w:t>(500 zīmes bez atstarpēm)</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09B5400F" w14:textId="7B26D9FB" w:rsidR="00AC3066" w:rsidRPr="00E228E8" w:rsidRDefault="00DE655A" w:rsidP="002E4D4C">
            <w:pPr>
              <w:ind w:firstLine="715"/>
              <w:contextualSpacing/>
              <w:jc w:val="both"/>
              <w:rPr>
                <w:sz w:val="28"/>
                <w:szCs w:val="28"/>
              </w:rPr>
            </w:pPr>
            <w:r w:rsidRPr="00E228E8">
              <w:rPr>
                <w:sz w:val="28"/>
                <w:szCs w:val="28"/>
              </w:rPr>
              <w:t xml:space="preserve">Atbilstoši likuma “Par valsts un pašvaldību </w:t>
            </w:r>
            <w:r w:rsidR="005E4A5F" w:rsidRPr="00E228E8">
              <w:rPr>
                <w:sz w:val="28"/>
                <w:szCs w:val="28"/>
              </w:rPr>
              <w:t>dzīvojamo māju</w:t>
            </w:r>
            <w:r w:rsidRPr="00E228E8">
              <w:rPr>
                <w:sz w:val="28"/>
                <w:szCs w:val="28"/>
              </w:rPr>
              <w:t xml:space="preserve"> privatizāciju” pārejas noteikumu </w:t>
            </w:r>
            <w:r w:rsidR="005E4A5F" w:rsidRPr="00E228E8">
              <w:rPr>
                <w:sz w:val="28"/>
                <w:szCs w:val="28"/>
              </w:rPr>
              <w:t>54.punktam</w:t>
            </w:r>
            <w:r w:rsidRPr="00E228E8">
              <w:rPr>
                <w:sz w:val="28"/>
                <w:szCs w:val="28"/>
              </w:rPr>
              <w:t xml:space="preserve">, Ekonomikas ministrija ir sagatavojusi </w:t>
            </w:r>
            <w:r w:rsidR="00307716" w:rsidRPr="00E228E8">
              <w:rPr>
                <w:sz w:val="28"/>
                <w:szCs w:val="28"/>
              </w:rPr>
              <w:t xml:space="preserve">Ministru kabineta </w:t>
            </w:r>
            <w:r w:rsidR="000838E1" w:rsidRPr="00E228E8">
              <w:rPr>
                <w:sz w:val="28"/>
                <w:szCs w:val="28"/>
              </w:rPr>
              <w:t>noteikumu</w:t>
            </w:r>
            <w:r w:rsidRPr="00E228E8">
              <w:rPr>
                <w:sz w:val="28"/>
                <w:szCs w:val="28"/>
              </w:rPr>
              <w:t xml:space="preserve"> projektu par valsts </w:t>
            </w:r>
            <w:r w:rsidR="005E4A5F" w:rsidRPr="00E228E8">
              <w:rPr>
                <w:sz w:val="28"/>
                <w:szCs w:val="28"/>
              </w:rPr>
              <w:t xml:space="preserve">dzīvojamo māju </w:t>
            </w:r>
            <w:r w:rsidRPr="00E228E8">
              <w:rPr>
                <w:sz w:val="28"/>
                <w:szCs w:val="28"/>
              </w:rPr>
              <w:t xml:space="preserve">privatizāciju veicošās institūcijas pārvaldes uzdevuma deleģēšanu akciju sabiedrībai “Publisko aktīvu pārvaldītājs </w:t>
            </w:r>
            <w:proofErr w:type="spellStart"/>
            <w:r w:rsidRPr="00E228E8">
              <w:rPr>
                <w:sz w:val="28"/>
                <w:szCs w:val="28"/>
              </w:rPr>
              <w:t>Possessor</w:t>
            </w:r>
            <w:proofErr w:type="spellEnd"/>
            <w:r w:rsidRPr="00E228E8">
              <w:rPr>
                <w:sz w:val="28"/>
                <w:szCs w:val="28"/>
              </w:rPr>
              <w:t>”</w:t>
            </w:r>
            <w:r w:rsidR="00307716" w:rsidRPr="00E228E8">
              <w:rPr>
                <w:sz w:val="28"/>
                <w:szCs w:val="28"/>
              </w:rPr>
              <w:t>, vienlaikus nosakot</w:t>
            </w:r>
            <w:r w:rsidR="005E4A5F" w:rsidRPr="00E228E8">
              <w:rPr>
                <w:sz w:val="28"/>
                <w:szCs w:val="28"/>
              </w:rPr>
              <w:t xml:space="preserve"> </w:t>
            </w:r>
            <w:r w:rsidRPr="00E228E8">
              <w:rPr>
                <w:sz w:val="28"/>
                <w:szCs w:val="28"/>
              </w:rPr>
              <w:t>kārtību, kādā tiek segti ar minētā uzdevuma izpildi saistītie izdevumi</w:t>
            </w:r>
            <w:r w:rsidR="005E4A5F" w:rsidRPr="00E228E8">
              <w:rPr>
                <w:sz w:val="28"/>
                <w:szCs w:val="28"/>
              </w:rPr>
              <w:t>.</w:t>
            </w:r>
            <w:r w:rsidRPr="00E228E8">
              <w:rPr>
                <w:sz w:val="28"/>
                <w:szCs w:val="28"/>
              </w:rPr>
              <w:t xml:space="preserve"> Ministru kabineta noteikum</w:t>
            </w:r>
            <w:r w:rsidR="002E4D4C">
              <w:rPr>
                <w:sz w:val="28"/>
                <w:szCs w:val="28"/>
              </w:rPr>
              <w:t>i stāsies spēkā nākamajā dienā pēc to izsludināšanas.</w:t>
            </w:r>
            <w:r w:rsidRPr="00E228E8">
              <w:rPr>
                <w:sz w:val="28"/>
                <w:szCs w:val="28"/>
              </w:rPr>
              <w:t xml:space="preserve"> </w:t>
            </w:r>
          </w:p>
        </w:tc>
      </w:tr>
    </w:tbl>
    <w:p w14:paraId="55D78E41" w14:textId="77777777" w:rsidR="00AC3066" w:rsidRPr="003019D6" w:rsidRDefault="00AC3066">
      <w:pPr>
        <w:contextualSpacing/>
        <w:jc w:val="both"/>
      </w:pPr>
    </w:p>
    <w:tbl>
      <w:tblPr>
        <w:tblW w:w="5000" w:type="pct"/>
        <w:tblInd w:w="-10" w:type="dxa"/>
        <w:tblCellMar>
          <w:left w:w="0" w:type="dxa"/>
          <w:right w:w="0" w:type="dxa"/>
        </w:tblCellMar>
        <w:tblLook w:val="0000" w:firstRow="0" w:lastRow="0" w:firstColumn="0" w:lastColumn="0" w:noHBand="0" w:noVBand="0"/>
      </w:tblPr>
      <w:tblGrid>
        <w:gridCol w:w="424"/>
        <w:gridCol w:w="2375"/>
        <w:gridCol w:w="6262"/>
      </w:tblGrid>
      <w:tr w:rsidR="00AC3066" w:rsidRPr="00E228E8" w14:paraId="78D403DB" w14:textId="77777777" w:rsidTr="00E228E8">
        <w:trPr>
          <w:trHeight w:val="419"/>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EE4B85" w14:textId="77777777" w:rsidR="00AC3066" w:rsidRPr="00E228E8" w:rsidRDefault="00DE655A">
            <w:pPr>
              <w:ind w:left="57" w:right="57"/>
              <w:contextualSpacing/>
              <w:jc w:val="both"/>
              <w:rPr>
                <w:b/>
                <w:sz w:val="28"/>
                <w:szCs w:val="28"/>
              </w:rPr>
            </w:pPr>
            <w:r w:rsidRPr="00E228E8">
              <w:rPr>
                <w:b/>
                <w:sz w:val="28"/>
                <w:szCs w:val="28"/>
              </w:rPr>
              <w:t>I. Tiesību akta projekta izstrādes nepieciešamība</w:t>
            </w:r>
          </w:p>
        </w:tc>
      </w:tr>
      <w:tr w:rsidR="00AC3066" w:rsidRPr="00E228E8" w14:paraId="0639EDC6" w14:textId="77777777" w:rsidTr="00E228E8">
        <w:trPr>
          <w:trHeight w:val="415"/>
        </w:trPr>
        <w:tc>
          <w:tcPr>
            <w:tcW w:w="424" w:type="dxa"/>
            <w:tcBorders>
              <w:top w:val="single" w:sz="4" w:space="0" w:color="000000"/>
              <w:left w:val="single" w:sz="4" w:space="0" w:color="000000"/>
              <w:bottom w:val="single" w:sz="4" w:space="0" w:color="000000"/>
            </w:tcBorders>
            <w:shd w:val="clear" w:color="auto" w:fill="auto"/>
          </w:tcPr>
          <w:p w14:paraId="78A4E0E4" w14:textId="77777777" w:rsidR="00AC3066" w:rsidRPr="00E228E8" w:rsidRDefault="00DE655A">
            <w:pPr>
              <w:ind w:left="57" w:right="57"/>
              <w:contextualSpacing/>
              <w:jc w:val="both"/>
              <w:rPr>
                <w:sz w:val="28"/>
                <w:szCs w:val="28"/>
              </w:rPr>
            </w:pPr>
            <w:r w:rsidRPr="00E228E8">
              <w:rPr>
                <w:sz w:val="28"/>
                <w:szCs w:val="28"/>
              </w:rPr>
              <w:t>1.</w:t>
            </w:r>
          </w:p>
        </w:tc>
        <w:tc>
          <w:tcPr>
            <w:tcW w:w="2375" w:type="dxa"/>
            <w:tcBorders>
              <w:top w:val="single" w:sz="4" w:space="0" w:color="000000"/>
              <w:left w:val="single" w:sz="4" w:space="0" w:color="000000"/>
              <w:bottom w:val="single" w:sz="4" w:space="0" w:color="000000"/>
            </w:tcBorders>
            <w:shd w:val="clear" w:color="auto" w:fill="auto"/>
          </w:tcPr>
          <w:p w14:paraId="6854803D" w14:textId="77777777" w:rsidR="00AC3066" w:rsidRPr="00E228E8" w:rsidRDefault="00DE655A">
            <w:pPr>
              <w:ind w:left="57" w:right="57"/>
              <w:contextualSpacing/>
              <w:jc w:val="both"/>
              <w:rPr>
                <w:sz w:val="28"/>
                <w:szCs w:val="28"/>
              </w:rPr>
            </w:pPr>
            <w:r w:rsidRPr="00E228E8">
              <w:rPr>
                <w:sz w:val="28"/>
                <w:szCs w:val="28"/>
              </w:rPr>
              <w:t>Pamatojums</w:t>
            </w: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CC89648" w14:textId="77777777" w:rsidR="00AC3066" w:rsidRPr="00E228E8" w:rsidRDefault="00DE655A" w:rsidP="003019D6">
            <w:pPr>
              <w:ind w:firstLine="715"/>
              <w:contextualSpacing/>
              <w:jc w:val="both"/>
              <w:rPr>
                <w:sz w:val="28"/>
                <w:szCs w:val="28"/>
              </w:rPr>
            </w:pPr>
            <w:r w:rsidRPr="00E228E8">
              <w:rPr>
                <w:sz w:val="28"/>
                <w:szCs w:val="28"/>
              </w:rPr>
              <w:t>Valsts pārvaldes iekārtas likuma 40.panta otrā daļa</w:t>
            </w:r>
            <w:r w:rsidR="00307716" w:rsidRPr="00E228E8">
              <w:rPr>
                <w:sz w:val="28"/>
                <w:szCs w:val="28"/>
              </w:rPr>
              <w:t>,</w:t>
            </w:r>
            <w:r w:rsidRPr="00E228E8">
              <w:rPr>
                <w:sz w:val="28"/>
                <w:szCs w:val="28"/>
              </w:rPr>
              <w:t xml:space="preserve"> likuma “Par valsts un pašvaldību </w:t>
            </w:r>
            <w:r w:rsidR="002D443D" w:rsidRPr="00E228E8">
              <w:rPr>
                <w:sz w:val="28"/>
                <w:szCs w:val="28"/>
              </w:rPr>
              <w:t>dzīvojamo māju</w:t>
            </w:r>
            <w:r w:rsidRPr="00E228E8">
              <w:rPr>
                <w:sz w:val="28"/>
                <w:szCs w:val="28"/>
              </w:rPr>
              <w:t xml:space="preserve"> privatizāciju” (turpmāk – Privatizācijas likums) </w:t>
            </w:r>
            <w:r w:rsidR="00593E5D" w:rsidRPr="00E228E8">
              <w:rPr>
                <w:sz w:val="28"/>
                <w:szCs w:val="28"/>
              </w:rPr>
              <w:t>8</w:t>
            </w:r>
            <w:r w:rsidR="00593E5D" w:rsidRPr="00E228E8">
              <w:rPr>
                <w:sz w:val="28"/>
                <w:szCs w:val="28"/>
                <w:vertAlign w:val="superscript"/>
              </w:rPr>
              <w:t>1</w:t>
            </w:r>
            <w:r w:rsidR="00593E5D" w:rsidRPr="00E228E8">
              <w:rPr>
                <w:sz w:val="28"/>
                <w:szCs w:val="28"/>
              </w:rPr>
              <w:t xml:space="preserve">.panta pirmā daļa, 67.panta sestā daļa un </w:t>
            </w:r>
            <w:r w:rsidR="002D443D" w:rsidRPr="00E228E8">
              <w:rPr>
                <w:sz w:val="28"/>
                <w:szCs w:val="28"/>
              </w:rPr>
              <w:t xml:space="preserve">pārejas noteikumu 54.punkts </w:t>
            </w:r>
            <w:r w:rsidR="00593E5D" w:rsidRPr="00E228E8">
              <w:rPr>
                <w:sz w:val="28"/>
                <w:szCs w:val="28"/>
              </w:rPr>
              <w:t>un likuma “Par valsts un pašvaldību īpašuma objektu privatizāciju” 11.panta otr</w:t>
            </w:r>
            <w:r w:rsidR="00150ED6" w:rsidRPr="00E228E8">
              <w:rPr>
                <w:sz w:val="28"/>
                <w:szCs w:val="28"/>
              </w:rPr>
              <w:t>ā</w:t>
            </w:r>
            <w:r w:rsidR="00593E5D" w:rsidRPr="00E228E8">
              <w:rPr>
                <w:sz w:val="28"/>
                <w:szCs w:val="28"/>
              </w:rPr>
              <w:t xml:space="preserve"> daļ</w:t>
            </w:r>
            <w:r w:rsidR="00150ED6" w:rsidRPr="00E228E8">
              <w:rPr>
                <w:sz w:val="28"/>
                <w:szCs w:val="28"/>
              </w:rPr>
              <w:t>a</w:t>
            </w:r>
            <w:r w:rsidR="00593E5D" w:rsidRPr="00E228E8">
              <w:rPr>
                <w:sz w:val="28"/>
                <w:szCs w:val="28"/>
              </w:rPr>
              <w:t>.</w:t>
            </w:r>
          </w:p>
        </w:tc>
      </w:tr>
      <w:tr w:rsidR="00AC3066" w:rsidRPr="00E228E8" w14:paraId="554A5965" w14:textId="77777777" w:rsidTr="00E228E8">
        <w:trPr>
          <w:trHeight w:val="472"/>
        </w:trPr>
        <w:tc>
          <w:tcPr>
            <w:tcW w:w="424" w:type="dxa"/>
            <w:tcBorders>
              <w:top w:val="single" w:sz="4" w:space="0" w:color="000000"/>
              <w:left w:val="single" w:sz="4" w:space="0" w:color="000000"/>
              <w:bottom w:val="single" w:sz="4" w:space="0" w:color="000000"/>
            </w:tcBorders>
            <w:shd w:val="clear" w:color="auto" w:fill="auto"/>
          </w:tcPr>
          <w:p w14:paraId="77637F72" w14:textId="77777777" w:rsidR="00AC3066" w:rsidRPr="00E228E8" w:rsidRDefault="00DE655A">
            <w:pPr>
              <w:ind w:left="57" w:right="57"/>
              <w:contextualSpacing/>
              <w:jc w:val="both"/>
              <w:rPr>
                <w:sz w:val="28"/>
                <w:szCs w:val="28"/>
              </w:rPr>
            </w:pPr>
            <w:r w:rsidRPr="00E228E8">
              <w:rPr>
                <w:sz w:val="28"/>
                <w:szCs w:val="28"/>
              </w:rPr>
              <w:t>2.</w:t>
            </w:r>
          </w:p>
        </w:tc>
        <w:tc>
          <w:tcPr>
            <w:tcW w:w="2375" w:type="dxa"/>
            <w:tcBorders>
              <w:top w:val="single" w:sz="4" w:space="0" w:color="000000"/>
              <w:left w:val="single" w:sz="4" w:space="0" w:color="000000"/>
              <w:bottom w:val="single" w:sz="4" w:space="0" w:color="000000"/>
            </w:tcBorders>
            <w:shd w:val="clear" w:color="auto" w:fill="auto"/>
          </w:tcPr>
          <w:p w14:paraId="577E7F58" w14:textId="77777777" w:rsidR="00AC3066" w:rsidRDefault="00DE655A">
            <w:pPr>
              <w:tabs>
                <w:tab w:val="left" w:pos="170"/>
              </w:tabs>
              <w:ind w:left="57" w:right="57"/>
              <w:contextualSpacing/>
              <w:jc w:val="both"/>
              <w:rPr>
                <w:sz w:val="28"/>
                <w:szCs w:val="28"/>
              </w:rPr>
            </w:pPr>
            <w:r w:rsidRPr="00E228E8">
              <w:rPr>
                <w:sz w:val="28"/>
                <w:szCs w:val="28"/>
              </w:rPr>
              <w:t>Pašreizējā situācija un problēmas, kuru risināšanai tiesību akta projekts izstrādāts, tiesiskā regulējuma mērķis un būtība</w:t>
            </w:r>
          </w:p>
          <w:p w14:paraId="2A3979C9" w14:textId="77777777" w:rsidR="00486FAA" w:rsidRPr="00486FAA" w:rsidRDefault="00486FAA" w:rsidP="00486FAA">
            <w:pPr>
              <w:rPr>
                <w:sz w:val="28"/>
                <w:szCs w:val="28"/>
              </w:rPr>
            </w:pPr>
          </w:p>
          <w:p w14:paraId="32299AFB" w14:textId="77777777" w:rsidR="00486FAA" w:rsidRPr="00486FAA" w:rsidRDefault="00486FAA" w:rsidP="00486FAA">
            <w:pPr>
              <w:rPr>
                <w:sz w:val="28"/>
                <w:szCs w:val="28"/>
              </w:rPr>
            </w:pPr>
          </w:p>
          <w:p w14:paraId="786BE83B" w14:textId="77777777" w:rsidR="00486FAA" w:rsidRPr="00486FAA" w:rsidRDefault="00486FAA" w:rsidP="00486FAA">
            <w:pPr>
              <w:rPr>
                <w:sz w:val="28"/>
                <w:szCs w:val="28"/>
              </w:rPr>
            </w:pPr>
          </w:p>
          <w:p w14:paraId="7BC9727C" w14:textId="77777777" w:rsidR="00486FAA" w:rsidRPr="00486FAA" w:rsidRDefault="00486FAA" w:rsidP="00486FAA">
            <w:pPr>
              <w:rPr>
                <w:sz w:val="28"/>
                <w:szCs w:val="28"/>
              </w:rPr>
            </w:pPr>
          </w:p>
          <w:p w14:paraId="1D3BB4FF" w14:textId="77777777" w:rsidR="00486FAA" w:rsidRPr="00486FAA" w:rsidRDefault="00486FAA" w:rsidP="00486FAA">
            <w:pPr>
              <w:rPr>
                <w:sz w:val="28"/>
                <w:szCs w:val="28"/>
              </w:rPr>
            </w:pPr>
          </w:p>
          <w:p w14:paraId="63774D82" w14:textId="77777777" w:rsidR="00486FAA" w:rsidRPr="00486FAA" w:rsidRDefault="00486FAA" w:rsidP="00486FAA">
            <w:pPr>
              <w:rPr>
                <w:sz w:val="28"/>
                <w:szCs w:val="28"/>
              </w:rPr>
            </w:pPr>
          </w:p>
          <w:p w14:paraId="66FE39A6" w14:textId="77777777" w:rsidR="00486FAA" w:rsidRPr="00486FAA" w:rsidRDefault="00486FAA" w:rsidP="00486FAA">
            <w:pPr>
              <w:rPr>
                <w:sz w:val="28"/>
                <w:szCs w:val="28"/>
              </w:rPr>
            </w:pPr>
          </w:p>
          <w:p w14:paraId="29CD052E" w14:textId="77777777" w:rsidR="00486FAA" w:rsidRPr="00486FAA" w:rsidRDefault="00486FAA" w:rsidP="00486FAA">
            <w:pPr>
              <w:rPr>
                <w:sz w:val="28"/>
                <w:szCs w:val="28"/>
              </w:rPr>
            </w:pPr>
          </w:p>
          <w:p w14:paraId="454952A4" w14:textId="77777777" w:rsidR="00486FAA" w:rsidRPr="00486FAA" w:rsidRDefault="00486FAA" w:rsidP="00486FAA">
            <w:pPr>
              <w:rPr>
                <w:sz w:val="28"/>
                <w:szCs w:val="28"/>
              </w:rPr>
            </w:pPr>
          </w:p>
          <w:p w14:paraId="3CE4CB33" w14:textId="77777777" w:rsidR="00486FAA" w:rsidRPr="00486FAA" w:rsidRDefault="00486FAA" w:rsidP="00486FAA">
            <w:pPr>
              <w:rPr>
                <w:sz w:val="28"/>
                <w:szCs w:val="28"/>
              </w:rPr>
            </w:pPr>
          </w:p>
          <w:p w14:paraId="2747F8EA" w14:textId="79FB2012" w:rsidR="00486FAA" w:rsidRDefault="00486FAA" w:rsidP="00486FAA">
            <w:pPr>
              <w:rPr>
                <w:sz w:val="28"/>
                <w:szCs w:val="28"/>
              </w:rPr>
            </w:pPr>
          </w:p>
          <w:p w14:paraId="320A54C4" w14:textId="5162B15A" w:rsidR="00486FAA" w:rsidRPr="00486FAA" w:rsidRDefault="00486FAA" w:rsidP="00486FAA">
            <w:pPr>
              <w:rPr>
                <w:sz w:val="28"/>
                <w:szCs w:val="28"/>
              </w:rPr>
            </w:pPr>
          </w:p>
          <w:p w14:paraId="523AB4D8" w14:textId="77777777" w:rsidR="00486FAA" w:rsidRPr="00486FAA" w:rsidRDefault="00486FAA" w:rsidP="00486FAA">
            <w:pPr>
              <w:rPr>
                <w:sz w:val="28"/>
                <w:szCs w:val="28"/>
              </w:rPr>
            </w:pPr>
          </w:p>
          <w:p w14:paraId="4D318FB9" w14:textId="01639D81" w:rsidR="00486FAA" w:rsidRPr="00486FAA" w:rsidRDefault="00486FAA" w:rsidP="00486FAA">
            <w:pPr>
              <w:rPr>
                <w:sz w:val="28"/>
                <w:szCs w:val="28"/>
              </w:rPr>
            </w:pPr>
          </w:p>
          <w:p w14:paraId="659E038D" w14:textId="77777777" w:rsidR="00486FAA" w:rsidRPr="00486FAA" w:rsidRDefault="00486FAA" w:rsidP="00486FAA">
            <w:pPr>
              <w:rPr>
                <w:sz w:val="28"/>
                <w:szCs w:val="28"/>
              </w:rPr>
            </w:pPr>
          </w:p>
          <w:p w14:paraId="72FA921E" w14:textId="11C473E6" w:rsidR="00486FAA" w:rsidRPr="00486FAA" w:rsidRDefault="00486FAA" w:rsidP="00486FAA">
            <w:pPr>
              <w:rPr>
                <w:sz w:val="28"/>
                <w:szCs w:val="28"/>
              </w:rPr>
            </w:pPr>
          </w:p>
          <w:p w14:paraId="389F00B8" w14:textId="77777777" w:rsidR="00486FAA" w:rsidRPr="00486FAA" w:rsidRDefault="00486FAA" w:rsidP="00486FAA">
            <w:pPr>
              <w:rPr>
                <w:sz w:val="28"/>
                <w:szCs w:val="28"/>
              </w:rPr>
            </w:pPr>
          </w:p>
          <w:p w14:paraId="77108032" w14:textId="4F12E87D" w:rsidR="00486FAA" w:rsidRPr="00486FAA" w:rsidRDefault="00486FAA" w:rsidP="00486FAA">
            <w:pPr>
              <w:rPr>
                <w:sz w:val="28"/>
                <w:szCs w:val="28"/>
              </w:rPr>
            </w:pPr>
          </w:p>
          <w:p w14:paraId="236DD3A9" w14:textId="77777777" w:rsidR="00486FAA" w:rsidRPr="00486FAA" w:rsidRDefault="00486FAA" w:rsidP="00486FAA">
            <w:pPr>
              <w:rPr>
                <w:sz w:val="28"/>
                <w:szCs w:val="28"/>
              </w:rPr>
            </w:pPr>
          </w:p>
          <w:p w14:paraId="6078C808" w14:textId="149EB68C" w:rsidR="00486FAA" w:rsidRPr="00486FAA" w:rsidRDefault="00486FAA" w:rsidP="00486FAA">
            <w:pPr>
              <w:rPr>
                <w:sz w:val="28"/>
                <w:szCs w:val="28"/>
              </w:rPr>
            </w:pPr>
          </w:p>
          <w:p w14:paraId="27CDD1F5" w14:textId="77777777" w:rsidR="00486FAA" w:rsidRPr="00486FAA" w:rsidRDefault="00486FAA" w:rsidP="00486FAA">
            <w:pPr>
              <w:rPr>
                <w:sz w:val="28"/>
                <w:szCs w:val="28"/>
              </w:rPr>
            </w:pPr>
          </w:p>
          <w:p w14:paraId="15D4BF95" w14:textId="77777777" w:rsidR="00486FAA" w:rsidRPr="00486FAA" w:rsidRDefault="00486FAA" w:rsidP="00486FAA">
            <w:pPr>
              <w:rPr>
                <w:sz w:val="28"/>
                <w:szCs w:val="28"/>
              </w:rPr>
            </w:pPr>
          </w:p>
          <w:p w14:paraId="3F1D334C" w14:textId="0F24E794" w:rsidR="00486FAA" w:rsidRPr="00486FAA" w:rsidRDefault="00486FAA" w:rsidP="00486FAA">
            <w:pPr>
              <w:rPr>
                <w:sz w:val="28"/>
                <w:szCs w:val="28"/>
              </w:rPr>
            </w:pP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E45C040" w14:textId="77D58DEA" w:rsidR="00986B12" w:rsidRPr="00E228E8" w:rsidRDefault="002B2D2E" w:rsidP="00986B12">
            <w:pPr>
              <w:pStyle w:val="FootnoteText"/>
              <w:spacing w:after="120"/>
              <w:ind w:firstLine="709"/>
              <w:jc w:val="both"/>
              <w:rPr>
                <w:sz w:val="28"/>
                <w:szCs w:val="28"/>
              </w:rPr>
            </w:pPr>
            <w:r w:rsidRPr="00E228E8">
              <w:rPr>
                <w:sz w:val="28"/>
                <w:szCs w:val="28"/>
              </w:rPr>
              <w:lastRenderedPageBreak/>
              <w:t>2019.</w:t>
            </w:r>
            <w:r w:rsidR="00DE655A" w:rsidRPr="00E228E8">
              <w:rPr>
                <w:sz w:val="28"/>
                <w:szCs w:val="28"/>
              </w:rPr>
              <w:t xml:space="preserve">gada </w:t>
            </w:r>
            <w:r w:rsidR="002D443D" w:rsidRPr="00E228E8">
              <w:rPr>
                <w:sz w:val="28"/>
                <w:szCs w:val="28"/>
              </w:rPr>
              <w:t>12</w:t>
            </w:r>
            <w:r w:rsidR="00DE655A" w:rsidRPr="00E228E8">
              <w:rPr>
                <w:sz w:val="28"/>
                <w:szCs w:val="28"/>
              </w:rPr>
              <w:t xml:space="preserve">.jūlijā spēkā stājās likums “Grozījumi likumā “Par valsts un pašvaldību </w:t>
            </w:r>
            <w:r w:rsidR="002D443D" w:rsidRPr="00E228E8">
              <w:rPr>
                <w:sz w:val="28"/>
                <w:szCs w:val="28"/>
              </w:rPr>
              <w:t>dzīvojamo</w:t>
            </w:r>
            <w:r w:rsidR="00DE655A" w:rsidRPr="00E228E8">
              <w:rPr>
                <w:sz w:val="28"/>
                <w:szCs w:val="28"/>
              </w:rPr>
              <w:t xml:space="preserve"> </w:t>
            </w:r>
            <w:r w:rsidR="002D443D" w:rsidRPr="00E228E8">
              <w:rPr>
                <w:sz w:val="28"/>
                <w:szCs w:val="28"/>
              </w:rPr>
              <w:t xml:space="preserve">māju </w:t>
            </w:r>
            <w:r w:rsidR="00DE655A" w:rsidRPr="00E228E8">
              <w:rPr>
                <w:sz w:val="28"/>
                <w:szCs w:val="28"/>
              </w:rPr>
              <w:t>privatizāciju”</w:t>
            </w:r>
            <w:r w:rsidR="00D70729" w:rsidRPr="00E228E8">
              <w:rPr>
                <w:sz w:val="28"/>
                <w:szCs w:val="28"/>
              </w:rPr>
              <w:t>”, ar kur</w:t>
            </w:r>
            <w:r w:rsidR="001056FE" w:rsidRPr="00E228E8">
              <w:rPr>
                <w:sz w:val="28"/>
                <w:szCs w:val="28"/>
              </w:rPr>
              <w:t>u</w:t>
            </w:r>
            <w:r w:rsidR="00D70729" w:rsidRPr="00E228E8">
              <w:rPr>
                <w:sz w:val="28"/>
                <w:szCs w:val="28"/>
              </w:rPr>
              <w:t xml:space="preserve"> </w:t>
            </w:r>
            <w:r w:rsidR="00DE655A" w:rsidRPr="00E228E8">
              <w:rPr>
                <w:sz w:val="28"/>
                <w:szCs w:val="28"/>
              </w:rPr>
              <w:t xml:space="preserve">tika noteikts, ka </w:t>
            </w:r>
            <w:r w:rsidR="00986B12" w:rsidRPr="00E228E8">
              <w:rPr>
                <w:sz w:val="28"/>
                <w:szCs w:val="28"/>
              </w:rPr>
              <w:t xml:space="preserve">valsts dzīvojamo māju privatizāciju veicošo institūciju nosaka Ministru kabinets.  Atbilstoši Privatizācijas likuma pārejas noteikumu 54.punktam, lēmumu par to, kura institūcija turpmāk veiks valsts dzīvojamo māju privatizāciju, Ministru kabinets pieņem ne vēlāk kā līdz 2019.gada 1.septembrim. Noteikts, ka līdz brīdim, kad Ministru kabinets pieņem lēmumu par valsts dzīvojamo māju privatizāciju </w:t>
            </w:r>
            <w:r w:rsidR="00D97887" w:rsidRPr="00E228E8">
              <w:rPr>
                <w:sz w:val="28"/>
                <w:szCs w:val="28"/>
              </w:rPr>
              <w:t xml:space="preserve">veicošo institūciju, Privatizācijas likumā noteiktos valsts dzīvojamo māju </w:t>
            </w:r>
            <w:r w:rsidR="00986B12" w:rsidRPr="00E228E8">
              <w:rPr>
                <w:sz w:val="28"/>
                <w:szCs w:val="28"/>
              </w:rPr>
              <w:t>privatizāciju veicošās institūcijas uzdevumus pilda akciju sabiedrība “</w:t>
            </w:r>
            <w:r w:rsidR="00AB29B0" w:rsidRPr="00E228E8">
              <w:rPr>
                <w:sz w:val="28"/>
                <w:szCs w:val="28"/>
              </w:rPr>
              <w:t xml:space="preserve">Publisko aktīvu pārvaldītājs </w:t>
            </w:r>
            <w:proofErr w:type="spellStart"/>
            <w:r w:rsidR="00AB29B0" w:rsidRPr="00E228E8">
              <w:rPr>
                <w:sz w:val="28"/>
                <w:szCs w:val="28"/>
              </w:rPr>
              <w:t>Possessor</w:t>
            </w:r>
            <w:proofErr w:type="spellEnd"/>
            <w:r w:rsidR="00986B12" w:rsidRPr="00E228E8">
              <w:rPr>
                <w:sz w:val="28"/>
                <w:szCs w:val="28"/>
              </w:rPr>
              <w:t>”</w:t>
            </w:r>
            <w:r w:rsidR="00D374D9" w:rsidRPr="00E228E8">
              <w:rPr>
                <w:sz w:val="28"/>
                <w:szCs w:val="28"/>
              </w:rPr>
              <w:t xml:space="preserve"> (turpmāk – </w:t>
            </w:r>
            <w:proofErr w:type="spellStart"/>
            <w:r w:rsidR="00D374D9" w:rsidRPr="00E228E8">
              <w:rPr>
                <w:sz w:val="28"/>
                <w:szCs w:val="28"/>
              </w:rPr>
              <w:t>Possessor</w:t>
            </w:r>
            <w:proofErr w:type="spellEnd"/>
            <w:r w:rsidR="00D374D9" w:rsidRPr="00E228E8">
              <w:rPr>
                <w:sz w:val="28"/>
                <w:szCs w:val="28"/>
              </w:rPr>
              <w:t>)</w:t>
            </w:r>
            <w:r w:rsidR="00986B12" w:rsidRPr="00E228E8">
              <w:rPr>
                <w:sz w:val="28"/>
                <w:szCs w:val="28"/>
              </w:rPr>
              <w:t xml:space="preserve">. </w:t>
            </w:r>
          </w:p>
          <w:p w14:paraId="34ED48B1" w14:textId="77777777" w:rsidR="00AC3066" w:rsidRPr="00E228E8" w:rsidRDefault="00DE655A">
            <w:pPr>
              <w:pStyle w:val="FootnoteText"/>
              <w:spacing w:after="120"/>
              <w:ind w:firstLine="709"/>
              <w:jc w:val="both"/>
              <w:rPr>
                <w:sz w:val="28"/>
                <w:szCs w:val="28"/>
              </w:rPr>
            </w:pPr>
            <w:r w:rsidRPr="00E228E8">
              <w:rPr>
                <w:sz w:val="28"/>
                <w:szCs w:val="28"/>
              </w:rPr>
              <w:t xml:space="preserve">Valsts pārvaldes iekārtas likuma 40.panta otrā daļa noteic, ka privātpersonai pārvaldes uzdevumu var </w:t>
            </w:r>
            <w:r w:rsidRPr="00E228E8">
              <w:rPr>
                <w:sz w:val="28"/>
                <w:szCs w:val="28"/>
              </w:rPr>
              <w:lastRenderedPageBreak/>
              <w:t>deleģēt ar ārēju normatīvo aktu vai līgumu, ja tas paredzēts ārējā normatīvajā aktā. Savukārt, atbilstoši Valsts pārvaldes iekārtas likuma 42.panta pirmajai daļai privātpersonai jābūt tiesīgai veikt attiecīgo pārvaldes uzdevumu. Lemjot par pārvaldes uzdevuma deleģēšanu privātpersonai, ņem vērā tās pieredzi, reputāciju, resursus, personāla kvalifikāciju, kā arī citus kritērijus.</w:t>
            </w:r>
          </w:p>
          <w:p w14:paraId="0E0A884B" w14:textId="77777777" w:rsidR="003019D6" w:rsidRPr="00E228E8" w:rsidRDefault="004D7105" w:rsidP="008C5DA6">
            <w:pPr>
              <w:pStyle w:val="FootnoteText"/>
              <w:spacing w:after="120"/>
              <w:ind w:firstLine="709"/>
              <w:jc w:val="both"/>
              <w:rPr>
                <w:sz w:val="28"/>
                <w:szCs w:val="28"/>
              </w:rPr>
            </w:pPr>
            <w:r w:rsidRPr="00E228E8">
              <w:rPr>
                <w:sz w:val="28"/>
                <w:szCs w:val="28"/>
              </w:rPr>
              <w:t xml:space="preserve">Ar Ministru kabineta 2009.gada 29.maija rīkojumu Nr.353 “Par Būvniecības, enerģētikas un mājokļu valsts aģentūras likvidāciju” </w:t>
            </w:r>
            <w:proofErr w:type="spellStart"/>
            <w:r w:rsidRPr="00E228E8">
              <w:rPr>
                <w:sz w:val="28"/>
                <w:szCs w:val="28"/>
              </w:rPr>
              <w:t>Possessor</w:t>
            </w:r>
            <w:proofErr w:type="spellEnd"/>
            <w:r w:rsidRPr="00E228E8">
              <w:rPr>
                <w:sz w:val="28"/>
                <w:szCs w:val="28"/>
              </w:rPr>
              <w:t xml:space="preserve"> no 2009.gada 1.jūlija tika nodotas saskaņā ar Privatizācijas likumu veicamās valsts īpašumā esošo un valstij piekritīgo dzīvojamo māju (dzīvokļu īpašumu) privatizācijas un pārvaldīšanas funkcijas. </w:t>
            </w:r>
            <w:r w:rsidR="000A1F2C" w:rsidRPr="00E228E8">
              <w:rPr>
                <w:sz w:val="28"/>
                <w:szCs w:val="28"/>
              </w:rPr>
              <w:t xml:space="preserve">Kopš funkcijas pārņemšanas </w:t>
            </w:r>
            <w:proofErr w:type="spellStart"/>
            <w:r w:rsidR="000A1F2C" w:rsidRPr="00E228E8">
              <w:rPr>
                <w:sz w:val="28"/>
                <w:szCs w:val="28"/>
              </w:rPr>
              <w:t>Possessor</w:t>
            </w:r>
            <w:proofErr w:type="spellEnd"/>
            <w:r w:rsidR="000A1F2C" w:rsidRPr="00E228E8">
              <w:rPr>
                <w:sz w:val="28"/>
                <w:szCs w:val="28"/>
              </w:rPr>
              <w:t xml:space="preserve"> </w:t>
            </w:r>
            <w:r w:rsidR="00B66CD2" w:rsidRPr="00E228E8">
              <w:rPr>
                <w:sz w:val="28"/>
                <w:szCs w:val="28"/>
              </w:rPr>
              <w:t xml:space="preserve">valdījumā </w:t>
            </w:r>
            <w:r w:rsidR="000A1F2C" w:rsidRPr="00E228E8">
              <w:rPr>
                <w:sz w:val="28"/>
                <w:szCs w:val="28"/>
              </w:rPr>
              <w:t xml:space="preserve">ir bijuši 3490 </w:t>
            </w:r>
            <w:r w:rsidR="00150ED6" w:rsidRPr="00E228E8">
              <w:rPr>
                <w:sz w:val="28"/>
                <w:szCs w:val="28"/>
              </w:rPr>
              <w:t xml:space="preserve">valsts dzīvokļi un </w:t>
            </w:r>
            <w:r w:rsidR="00B66CD2" w:rsidRPr="00E228E8">
              <w:rPr>
                <w:sz w:val="28"/>
                <w:szCs w:val="28"/>
              </w:rPr>
              <w:t xml:space="preserve">viendzīvokļa </w:t>
            </w:r>
            <w:r w:rsidR="000A1F2C" w:rsidRPr="00E228E8">
              <w:rPr>
                <w:sz w:val="28"/>
                <w:szCs w:val="28"/>
              </w:rPr>
              <w:t>dzīv</w:t>
            </w:r>
            <w:r w:rsidR="009040D8" w:rsidRPr="00E228E8">
              <w:rPr>
                <w:sz w:val="28"/>
                <w:szCs w:val="28"/>
              </w:rPr>
              <w:t>ojamās mājas</w:t>
            </w:r>
            <w:r w:rsidR="00150ED6" w:rsidRPr="00E228E8">
              <w:rPr>
                <w:sz w:val="28"/>
                <w:szCs w:val="28"/>
              </w:rPr>
              <w:t>.</w:t>
            </w:r>
          </w:p>
          <w:p w14:paraId="451B5E7E" w14:textId="3D59405F" w:rsidR="00E660A5" w:rsidRPr="00E228E8" w:rsidRDefault="008C5DA6" w:rsidP="008C5DA6">
            <w:pPr>
              <w:pStyle w:val="FootnoteText"/>
              <w:spacing w:after="120"/>
              <w:ind w:firstLine="709"/>
              <w:jc w:val="both"/>
              <w:rPr>
                <w:sz w:val="28"/>
                <w:szCs w:val="28"/>
              </w:rPr>
            </w:pPr>
            <w:proofErr w:type="spellStart"/>
            <w:r w:rsidRPr="00E228E8">
              <w:rPr>
                <w:sz w:val="28"/>
                <w:szCs w:val="28"/>
              </w:rPr>
              <w:t>Possessor</w:t>
            </w:r>
            <w:proofErr w:type="spellEnd"/>
            <w:r w:rsidRPr="00E228E8">
              <w:rPr>
                <w:sz w:val="28"/>
                <w:szCs w:val="28"/>
              </w:rPr>
              <w:t xml:space="preserve"> ir ilgstoša pieredze privatizācijā, valsts aktīvu realizācijas procesā piemērojot dažādas metodes (pārdošana, privātā kapitāla piesaistīšana, parādu kapitalizācija, reorganizācija, u.c.).</w:t>
            </w:r>
          </w:p>
          <w:p w14:paraId="4604D8EC" w14:textId="1CC214E9" w:rsidR="004E4785" w:rsidRPr="00E228E8" w:rsidRDefault="00E660A5" w:rsidP="008C5DA6">
            <w:pPr>
              <w:pStyle w:val="FootnoteText"/>
              <w:spacing w:after="120"/>
              <w:ind w:firstLine="709"/>
              <w:jc w:val="both"/>
              <w:rPr>
                <w:sz w:val="28"/>
                <w:szCs w:val="28"/>
              </w:rPr>
            </w:pPr>
            <w:r w:rsidRPr="00E228E8">
              <w:rPr>
                <w:sz w:val="28"/>
                <w:szCs w:val="28"/>
              </w:rPr>
              <w:t xml:space="preserve">Valsts dzīvojamo māju privatizāciju veicošās institūcijas pienākumi noteikti Privatizācijas likuma 59.panta pirmajā daļā. </w:t>
            </w:r>
            <w:r w:rsidR="008C5DA6" w:rsidRPr="00E228E8">
              <w:rPr>
                <w:sz w:val="28"/>
                <w:szCs w:val="28"/>
              </w:rPr>
              <w:t xml:space="preserve">Valsts </w:t>
            </w:r>
            <w:r w:rsidR="004E4785" w:rsidRPr="00E228E8">
              <w:rPr>
                <w:sz w:val="28"/>
                <w:szCs w:val="28"/>
              </w:rPr>
              <w:t>dz</w:t>
            </w:r>
            <w:r w:rsidR="008C5DA6" w:rsidRPr="00E228E8">
              <w:rPr>
                <w:sz w:val="28"/>
                <w:szCs w:val="28"/>
              </w:rPr>
              <w:t>ī</w:t>
            </w:r>
            <w:r w:rsidR="004E4785" w:rsidRPr="00E228E8">
              <w:rPr>
                <w:sz w:val="28"/>
                <w:szCs w:val="28"/>
              </w:rPr>
              <w:t xml:space="preserve">vojamo māju </w:t>
            </w:r>
            <w:r w:rsidR="008C5DA6" w:rsidRPr="00E228E8">
              <w:rPr>
                <w:sz w:val="28"/>
                <w:szCs w:val="28"/>
              </w:rPr>
              <w:t xml:space="preserve">privatizācijas īstenošanas ietvaros </w:t>
            </w:r>
            <w:proofErr w:type="spellStart"/>
            <w:r w:rsidR="008C5DA6" w:rsidRPr="00E228E8">
              <w:rPr>
                <w:sz w:val="28"/>
                <w:szCs w:val="28"/>
              </w:rPr>
              <w:t>Possessor</w:t>
            </w:r>
            <w:proofErr w:type="spellEnd"/>
            <w:r w:rsidR="008C5DA6" w:rsidRPr="00E228E8">
              <w:rPr>
                <w:sz w:val="28"/>
                <w:szCs w:val="28"/>
              </w:rPr>
              <w:t>, normatīvajos aktos noteiktajā kārtībā un</w:t>
            </w:r>
            <w:r w:rsidR="0029142E" w:rsidRPr="00E228E8">
              <w:rPr>
                <w:sz w:val="28"/>
                <w:szCs w:val="28"/>
              </w:rPr>
              <w:t>,</w:t>
            </w:r>
            <w:r w:rsidR="008C5DA6" w:rsidRPr="00E228E8">
              <w:rPr>
                <w:sz w:val="28"/>
                <w:szCs w:val="28"/>
              </w:rPr>
              <w:t xml:space="preserve"> ievērojot saistošajos normatīvajos aktos noteiktās tiesības un pienākumus</w:t>
            </w:r>
            <w:r w:rsidR="00E86205">
              <w:rPr>
                <w:sz w:val="28"/>
                <w:szCs w:val="28"/>
              </w:rPr>
              <w:t xml:space="preserve"> -</w:t>
            </w:r>
            <w:r w:rsidR="008C5DA6" w:rsidRPr="00E228E8">
              <w:rPr>
                <w:sz w:val="28"/>
                <w:szCs w:val="28"/>
              </w:rPr>
              <w:t xml:space="preserve"> </w:t>
            </w:r>
            <w:r w:rsidR="00E86205">
              <w:rPr>
                <w:sz w:val="28"/>
                <w:szCs w:val="28"/>
              </w:rPr>
              <w:t xml:space="preserve">sniedz konsultācijas tā kompetencē esošajos jautājumos; veic Likumā noteiktās valsts dzīvojamo māju un tajās esošo dzīvokļu, mākslinieku darbnīcu un neapdzīvojamo telpu privatizācijas darbības; koordinē valsts dzīvojamo māju un tajās esošo dzīvokļu, mākslinieku darbnīcu un neapdzīvojamo telpu privatizācijas darbības; koordinē valsts dzīvojamo māju un to daļu nodošanu pašvaldībām; </w:t>
            </w:r>
            <w:r w:rsidRPr="00E228E8">
              <w:rPr>
                <w:sz w:val="28"/>
                <w:szCs w:val="28"/>
              </w:rPr>
              <w:t xml:space="preserve">nodod </w:t>
            </w:r>
            <w:r w:rsidR="00E86205">
              <w:rPr>
                <w:sz w:val="28"/>
                <w:szCs w:val="28"/>
              </w:rPr>
              <w:t xml:space="preserve">valsts </w:t>
            </w:r>
            <w:r w:rsidRPr="00E228E8">
              <w:rPr>
                <w:sz w:val="28"/>
                <w:szCs w:val="28"/>
              </w:rPr>
              <w:t>dzīvojam</w:t>
            </w:r>
            <w:r w:rsidR="00D32F7B">
              <w:rPr>
                <w:sz w:val="28"/>
                <w:szCs w:val="28"/>
              </w:rPr>
              <w:t xml:space="preserve">ās mājās esošos neprivatizētos dzīvokļus, mākslinieku darbnīcas, neapdzīvojamās telpas un neprivatizētās valsts dzīvojamās mājas </w:t>
            </w:r>
            <w:r w:rsidRPr="00E228E8">
              <w:rPr>
                <w:sz w:val="28"/>
                <w:szCs w:val="28"/>
              </w:rPr>
              <w:t xml:space="preserve"> pašvaldībām, pārvalda tās valdījumā esošās </w:t>
            </w:r>
            <w:r w:rsidR="00D32F7B">
              <w:rPr>
                <w:sz w:val="28"/>
                <w:szCs w:val="28"/>
              </w:rPr>
              <w:t xml:space="preserve">valsts </w:t>
            </w:r>
            <w:r w:rsidRPr="00E228E8">
              <w:rPr>
                <w:sz w:val="28"/>
                <w:szCs w:val="28"/>
              </w:rPr>
              <w:t xml:space="preserve">dzīvojamās mājas un to daļas līdz šo </w:t>
            </w:r>
            <w:r w:rsidRPr="00E228E8">
              <w:rPr>
                <w:sz w:val="28"/>
                <w:szCs w:val="28"/>
              </w:rPr>
              <w:lastRenderedPageBreak/>
              <w:t xml:space="preserve">dzīvojamo māju un to daļu nodošanai dzīvokļu īpašnieku pārvaldīšanā un apsaimniekošanā, </w:t>
            </w:r>
            <w:r w:rsidR="00D32F7B">
              <w:rPr>
                <w:sz w:val="28"/>
                <w:szCs w:val="28"/>
              </w:rPr>
              <w:t xml:space="preserve">ievērojot Civillikuma un citu likumu noteikumus; </w:t>
            </w:r>
            <w:r w:rsidRPr="00E228E8">
              <w:rPr>
                <w:sz w:val="28"/>
                <w:szCs w:val="28"/>
              </w:rPr>
              <w:t xml:space="preserve">nodod </w:t>
            </w:r>
            <w:r w:rsidR="00D32F7B">
              <w:rPr>
                <w:sz w:val="28"/>
                <w:szCs w:val="28"/>
              </w:rPr>
              <w:t xml:space="preserve">valsts </w:t>
            </w:r>
            <w:r w:rsidRPr="00E228E8">
              <w:rPr>
                <w:sz w:val="28"/>
                <w:szCs w:val="28"/>
              </w:rPr>
              <w:t>dzīvojamās mājas dzīvokļu īpašnieku pārvaldīšanā un apsaimniekošanā</w:t>
            </w:r>
            <w:r w:rsidR="00D32F7B">
              <w:rPr>
                <w:sz w:val="28"/>
                <w:szCs w:val="28"/>
              </w:rPr>
              <w:t>; glabā informāciju par dzīvojamo māju privatizāciju un nodrošina tās pieejamību pašvaldībām</w:t>
            </w:r>
            <w:r w:rsidR="00D9705E">
              <w:rPr>
                <w:sz w:val="28"/>
                <w:szCs w:val="28"/>
              </w:rPr>
              <w:t xml:space="preserve"> </w:t>
            </w:r>
            <w:r w:rsidR="00D56604">
              <w:rPr>
                <w:sz w:val="28"/>
                <w:szCs w:val="28"/>
              </w:rPr>
              <w:t>un citām valsts un pašvaldību institūcijām pēc to pieprasījuma.</w:t>
            </w:r>
          </w:p>
          <w:p w14:paraId="4302A4B5" w14:textId="77777777" w:rsidR="00E660A5" w:rsidRPr="00E228E8" w:rsidRDefault="008C5DA6" w:rsidP="008C5DA6">
            <w:pPr>
              <w:pStyle w:val="FootnoteText"/>
              <w:spacing w:after="120"/>
              <w:ind w:firstLine="709"/>
              <w:jc w:val="both"/>
              <w:rPr>
                <w:sz w:val="28"/>
                <w:szCs w:val="28"/>
              </w:rPr>
            </w:pPr>
            <w:r w:rsidRPr="00E228E8">
              <w:rPr>
                <w:sz w:val="28"/>
                <w:szCs w:val="28"/>
              </w:rPr>
              <w:t xml:space="preserve">2019.gada </w:t>
            </w:r>
            <w:r w:rsidR="00762BEC" w:rsidRPr="00E228E8">
              <w:rPr>
                <w:sz w:val="28"/>
                <w:szCs w:val="28"/>
              </w:rPr>
              <w:t>1.augustā</w:t>
            </w:r>
            <w:r w:rsidRPr="00E228E8">
              <w:rPr>
                <w:sz w:val="28"/>
                <w:szCs w:val="28"/>
              </w:rPr>
              <w:t xml:space="preserve"> </w:t>
            </w:r>
            <w:proofErr w:type="spellStart"/>
            <w:r w:rsidRPr="00E228E8">
              <w:rPr>
                <w:sz w:val="28"/>
                <w:szCs w:val="28"/>
              </w:rPr>
              <w:t>Possessor</w:t>
            </w:r>
            <w:proofErr w:type="spellEnd"/>
            <w:r w:rsidRPr="00E228E8">
              <w:rPr>
                <w:sz w:val="28"/>
                <w:szCs w:val="28"/>
              </w:rPr>
              <w:t xml:space="preserve"> </w:t>
            </w:r>
            <w:r w:rsidR="00762BEC" w:rsidRPr="00E228E8">
              <w:rPr>
                <w:sz w:val="28"/>
                <w:szCs w:val="28"/>
              </w:rPr>
              <w:t>valdījumā</w:t>
            </w:r>
            <w:r w:rsidRPr="00E228E8">
              <w:rPr>
                <w:sz w:val="28"/>
                <w:szCs w:val="28"/>
              </w:rPr>
              <w:t xml:space="preserve"> </w:t>
            </w:r>
            <w:r w:rsidR="00E660A5" w:rsidRPr="00E228E8">
              <w:rPr>
                <w:sz w:val="28"/>
                <w:szCs w:val="28"/>
              </w:rPr>
              <w:t xml:space="preserve">bija </w:t>
            </w:r>
            <w:r w:rsidR="006928DC" w:rsidRPr="00E228E8">
              <w:rPr>
                <w:sz w:val="28"/>
                <w:szCs w:val="28"/>
              </w:rPr>
              <w:t>101</w:t>
            </w:r>
            <w:r w:rsidR="00E660A5" w:rsidRPr="00E228E8">
              <w:rPr>
                <w:sz w:val="28"/>
                <w:szCs w:val="28"/>
              </w:rPr>
              <w:t xml:space="preserve"> dzīvojamā māja un </w:t>
            </w:r>
            <w:r w:rsidR="00B36F90" w:rsidRPr="00E228E8">
              <w:rPr>
                <w:sz w:val="28"/>
                <w:szCs w:val="28"/>
              </w:rPr>
              <w:t>538</w:t>
            </w:r>
            <w:r w:rsidR="00E660A5" w:rsidRPr="00E228E8">
              <w:rPr>
                <w:sz w:val="28"/>
                <w:szCs w:val="28"/>
              </w:rPr>
              <w:t xml:space="preserve"> </w:t>
            </w:r>
            <w:r w:rsidR="0029142E" w:rsidRPr="00E228E8">
              <w:rPr>
                <w:sz w:val="28"/>
                <w:szCs w:val="28"/>
              </w:rPr>
              <w:t xml:space="preserve">valsts </w:t>
            </w:r>
            <w:r w:rsidR="00E660A5" w:rsidRPr="00E228E8">
              <w:rPr>
                <w:sz w:val="28"/>
                <w:szCs w:val="28"/>
              </w:rPr>
              <w:t>dzīvokļi</w:t>
            </w:r>
            <w:r w:rsidRPr="00E228E8">
              <w:rPr>
                <w:sz w:val="28"/>
                <w:szCs w:val="28"/>
              </w:rPr>
              <w:t xml:space="preserve">. </w:t>
            </w:r>
          </w:p>
          <w:p w14:paraId="7A551411" w14:textId="59AA70B5" w:rsidR="000A1F2C" w:rsidRPr="00E228E8" w:rsidRDefault="00E660A5" w:rsidP="000A1F2C">
            <w:pPr>
              <w:pStyle w:val="FootnoteText"/>
              <w:spacing w:after="120"/>
              <w:ind w:firstLine="709"/>
              <w:jc w:val="both"/>
              <w:rPr>
                <w:sz w:val="28"/>
                <w:szCs w:val="28"/>
              </w:rPr>
            </w:pPr>
            <w:r w:rsidRPr="00E228E8">
              <w:rPr>
                <w:sz w:val="28"/>
                <w:szCs w:val="28"/>
              </w:rPr>
              <w:t>Valsts dzīvojamo māju privatizācijas procesa pabeigšanas ietvaros privatizāciju ve</w:t>
            </w:r>
            <w:r w:rsidR="000C3ECD" w:rsidRPr="00E228E8">
              <w:rPr>
                <w:sz w:val="28"/>
                <w:szCs w:val="28"/>
              </w:rPr>
              <w:t>i</w:t>
            </w:r>
            <w:r w:rsidRPr="00E228E8">
              <w:rPr>
                <w:sz w:val="28"/>
                <w:szCs w:val="28"/>
              </w:rPr>
              <w:t xml:space="preserve">cošai institūcijai turpmāko 3 gadu laikā jānoslēdz vairāk kā 130 dzīvokļu un dzīvojamo māju privatizācijas pirkuma un nomaksas pirkuma līgumi, vairāk kā 600 vienošanās par zemesgabalu domājamo daļu nodošanu īpašumā bez atlīdzības dzīvokļu īpašniekiem, kā arī jānodod pārvaldīšanā dzīvokļu īpašniekiem vairāk kā </w:t>
            </w:r>
            <w:r w:rsidR="00B36F90" w:rsidRPr="00E228E8">
              <w:rPr>
                <w:sz w:val="28"/>
                <w:szCs w:val="28"/>
              </w:rPr>
              <w:t>5</w:t>
            </w:r>
            <w:r w:rsidRPr="00E228E8">
              <w:rPr>
                <w:sz w:val="28"/>
                <w:szCs w:val="28"/>
              </w:rPr>
              <w:t xml:space="preserve">0 dzīvojamās mājas. Vienlaikus jāveic iepriekš noslēgto pirkuma un nomaksas pirkuma līgumu, zemes nomas līgumu un vienošanās par zemesgabalu domājamo daļu nodošanu īpašumā bez atlīdzības dzīvokļu īpašniekiem saistību izpildes kontrole, kā arī jānodrošina dzīvojamo māju un </w:t>
            </w:r>
            <w:r w:rsidR="00F0446F" w:rsidRPr="00E228E8">
              <w:rPr>
                <w:sz w:val="28"/>
                <w:szCs w:val="28"/>
              </w:rPr>
              <w:t xml:space="preserve">valsts </w:t>
            </w:r>
            <w:r w:rsidRPr="00E228E8">
              <w:rPr>
                <w:sz w:val="28"/>
                <w:szCs w:val="28"/>
              </w:rPr>
              <w:t xml:space="preserve">dzīvokļu pārvaldīšana un īres tiesisko attiecību saistību izpildes kontrole. </w:t>
            </w:r>
            <w:r w:rsidR="000A1F2C" w:rsidRPr="00E228E8">
              <w:rPr>
                <w:sz w:val="28"/>
                <w:szCs w:val="28"/>
              </w:rPr>
              <w:t xml:space="preserve">Atzīmējams, ka pēdējos gados, nolūkā sekmēt valsts pārvaldes uzdevumu izpildes efektivitāti valsts mērogā, jau veiktas mērķtiecīgas darbības, koncentrējot saturiski piekritīgus valsts pārvaldes uzdevumus vienā kapitālsabiedrībā, kā rezultātā no 2016.gada 1.oktobra </w:t>
            </w:r>
            <w:proofErr w:type="spellStart"/>
            <w:r w:rsidR="000A1F2C" w:rsidRPr="00E228E8">
              <w:rPr>
                <w:sz w:val="28"/>
                <w:szCs w:val="28"/>
              </w:rPr>
              <w:t>Possessor</w:t>
            </w:r>
            <w:proofErr w:type="spellEnd"/>
            <w:r w:rsidR="000A1F2C" w:rsidRPr="00E228E8">
              <w:rPr>
                <w:sz w:val="28"/>
                <w:szCs w:val="28"/>
              </w:rPr>
              <w:t xml:space="preserve"> ir vienīgā institūcija valstī, kura nodrošina privatizācijas sertifikātu kontu apkalpošanu, zemes izpirkuma (pirkuma) līgumu slēgšanu un privatizācijas sertifikātu maksājumu, kas saņemti par dzīvojamo māju privatizāciju, administrēšanu.</w:t>
            </w:r>
          </w:p>
          <w:p w14:paraId="2CEFCE35" w14:textId="77777777" w:rsidR="00415AA7" w:rsidRPr="00E228E8" w:rsidRDefault="00415AA7" w:rsidP="00415AA7">
            <w:pPr>
              <w:pStyle w:val="FootnoteText"/>
              <w:spacing w:after="120"/>
              <w:ind w:firstLine="709"/>
              <w:jc w:val="both"/>
              <w:rPr>
                <w:sz w:val="28"/>
                <w:szCs w:val="28"/>
              </w:rPr>
            </w:pPr>
            <w:r w:rsidRPr="00E228E8">
              <w:rPr>
                <w:sz w:val="28"/>
                <w:szCs w:val="28"/>
              </w:rPr>
              <w:t xml:space="preserve">Atbilstoši Publiskas personas kapitāla daļu un kapitālsabiedrību pārvaldības likumā noteiktajam Ministru kabineta 2017.gada 6.jūnija sēdē (prot.Nr.29, 68#) tika atbalstīta valsts līdzdalības saglabāšana </w:t>
            </w:r>
            <w:proofErr w:type="spellStart"/>
            <w:r w:rsidRPr="00E228E8">
              <w:rPr>
                <w:sz w:val="28"/>
                <w:szCs w:val="28"/>
              </w:rPr>
              <w:t>Possessor</w:t>
            </w:r>
            <w:proofErr w:type="spellEnd"/>
            <w:r w:rsidRPr="00E228E8">
              <w:rPr>
                <w:sz w:val="28"/>
                <w:szCs w:val="28"/>
              </w:rPr>
              <w:t xml:space="preserve">, kā arī tika noteikts tā </w:t>
            </w:r>
            <w:r w:rsidRPr="00E228E8">
              <w:rPr>
                <w:b/>
                <w:sz w:val="28"/>
                <w:szCs w:val="28"/>
              </w:rPr>
              <w:t xml:space="preserve">vispārējais stratēģiskais mērķis – nodrošināt profesionālu </w:t>
            </w:r>
            <w:r w:rsidRPr="00E228E8">
              <w:rPr>
                <w:b/>
                <w:sz w:val="28"/>
                <w:szCs w:val="28"/>
              </w:rPr>
              <w:lastRenderedPageBreak/>
              <w:t xml:space="preserve">valsts kapitāla daļu un problemātisko aktīvu pārvaldību, kā arī </w:t>
            </w:r>
            <w:proofErr w:type="spellStart"/>
            <w:r w:rsidRPr="00E228E8">
              <w:rPr>
                <w:b/>
                <w:sz w:val="28"/>
                <w:szCs w:val="28"/>
              </w:rPr>
              <w:t>Possessor</w:t>
            </w:r>
            <w:proofErr w:type="spellEnd"/>
            <w:r w:rsidRPr="00E228E8">
              <w:rPr>
                <w:b/>
                <w:sz w:val="28"/>
                <w:szCs w:val="28"/>
              </w:rPr>
              <w:t xml:space="preserve"> turējumā esošo aktīvu, kas nav nepieciešami valsts funkciju īstenošanai, privatizāciju un atsavināšanu</w:t>
            </w:r>
            <w:r w:rsidRPr="00E228E8">
              <w:rPr>
                <w:sz w:val="28"/>
                <w:szCs w:val="28"/>
              </w:rPr>
              <w:t xml:space="preserve">. Atbilstoši apstiprinātajam vispārējam stratēģiskajam mērķim tika izstrādāta </w:t>
            </w:r>
            <w:proofErr w:type="spellStart"/>
            <w:r w:rsidRPr="00E228E8">
              <w:rPr>
                <w:sz w:val="28"/>
                <w:szCs w:val="28"/>
              </w:rPr>
              <w:t>Possessor</w:t>
            </w:r>
            <w:proofErr w:type="spellEnd"/>
            <w:r w:rsidRPr="00E228E8">
              <w:rPr>
                <w:sz w:val="28"/>
                <w:szCs w:val="28"/>
              </w:rPr>
              <w:t xml:space="preserve"> vidēja termiņa darbības stratēģija 2018.-2020.gadam. </w:t>
            </w:r>
          </w:p>
          <w:p w14:paraId="06C68ED0" w14:textId="54035B8B" w:rsidR="00AC3066" w:rsidRPr="00E228E8" w:rsidRDefault="00DE655A">
            <w:pPr>
              <w:pStyle w:val="FootnoteText"/>
              <w:spacing w:after="120"/>
              <w:ind w:firstLine="709"/>
              <w:jc w:val="both"/>
              <w:rPr>
                <w:sz w:val="28"/>
                <w:szCs w:val="28"/>
              </w:rPr>
            </w:pPr>
            <w:r w:rsidRPr="00E228E8">
              <w:rPr>
                <w:sz w:val="28"/>
                <w:szCs w:val="28"/>
              </w:rPr>
              <w:t xml:space="preserve">Ņemot vērā </w:t>
            </w:r>
            <w:r w:rsidR="00415AA7" w:rsidRPr="00E228E8">
              <w:rPr>
                <w:sz w:val="28"/>
                <w:szCs w:val="28"/>
              </w:rPr>
              <w:t xml:space="preserve">minēto, kā arī </w:t>
            </w:r>
            <w:proofErr w:type="spellStart"/>
            <w:r w:rsidRPr="00E228E8">
              <w:rPr>
                <w:sz w:val="28"/>
                <w:szCs w:val="28"/>
              </w:rPr>
              <w:t>Possessor</w:t>
            </w:r>
            <w:proofErr w:type="spellEnd"/>
            <w:r w:rsidRPr="00E228E8">
              <w:rPr>
                <w:sz w:val="28"/>
                <w:szCs w:val="28"/>
              </w:rPr>
              <w:t xml:space="preserve"> pieredzi</w:t>
            </w:r>
            <w:r w:rsidR="00415AA7" w:rsidRPr="00E228E8">
              <w:rPr>
                <w:sz w:val="28"/>
                <w:szCs w:val="28"/>
              </w:rPr>
              <w:t xml:space="preserve"> </w:t>
            </w:r>
            <w:r w:rsidR="00E9307E" w:rsidRPr="00E228E8">
              <w:rPr>
                <w:sz w:val="28"/>
                <w:szCs w:val="28"/>
              </w:rPr>
              <w:t xml:space="preserve">dzīvojamo māju privatizācijā un pārvaldīšanā, </w:t>
            </w:r>
            <w:r w:rsidR="00415AA7" w:rsidRPr="00E228E8">
              <w:rPr>
                <w:sz w:val="28"/>
                <w:szCs w:val="28"/>
              </w:rPr>
              <w:t>valsts īpašuma objektu, valsts kapitāla daļu un citu valsts aktīvu (t.sk. problemātisko aktīvu) pārvaldībā un atsavināšanā</w:t>
            </w:r>
            <w:r w:rsidRPr="00E228E8">
              <w:rPr>
                <w:sz w:val="28"/>
                <w:szCs w:val="28"/>
              </w:rPr>
              <w:t xml:space="preserve">, </w:t>
            </w:r>
            <w:proofErr w:type="spellStart"/>
            <w:r w:rsidR="00415AA7" w:rsidRPr="00E228E8">
              <w:rPr>
                <w:sz w:val="28"/>
                <w:szCs w:val="28"/>
              </w:rPr>
              <w:t>Possessor</w:t>
            </w:r>
            <w:proofErr w:type="spellEnd"/>
            <w:r w:rsidR="00415AA7" w:rsidRPr="00E228E8">
              <w:rPr>
                <w:sz w:val="28"/>
                <w:szCs w:val="28"/>
              </w:rPr>
              <w:t xml:space="preserve"> </w:t>
            </w:r>
            <w:r w:rsidRPr="00E228E8">
              <w:rPr>
                <w:sz w:val="28"/>
                <w:szCs w:val="28"/>
              </w:rPr>
              <w:t xml:space="preserve">reputāciju, </w:t>
            </w:r>
            <w:r w:rsidR="00415AA7" w:rsidRPr="00E228E8">
              <w:rPr>
                <w:sz w:val="28"/>
                <w:szCs w:val="28"/>
              </w:rPr>
              <w:t xml:space="preserve">pieejamos </w:t>
            </w:r>
            <w:r w:rsidRPr="00E228E8">
              <w:rPr>
                <w:sz w:val="28"/>
                <w:szCs w:val="28"/>
              </w:rPr>
              <w:t xml:space="preserve">resursus, </w:t>
            </w:r>
            <w:r w:rsidR="00415AA7" w:rsidRPr="00E228E8">
              <w:rPr>
                <w:sz w:val="28"/>
                <w:szCs w:val="28"/>
              </w:rPr>
              <w:t xml:space="preserve">personāla </w:t>
            </w:r>
            <w:r w:rsidRPr="00E228E8">
              <w:rPr>
                <w:sz w:val="28"/>
                <w:szCs w:val="28"/>
              </w:rPr>
              <w:t>profesionālo kompetenci un kvalifikāciju,</w:t>
            </w:r>
            <w:r w:rsidR="00415AA7" w:rsidRPr="00E228E8">
              <w:rPr>
                <w:sz w:val="28"/>
                <w:szCs w:val="28"/>
              </w:rPr>
              <w:t xml:space="preserve"> izdarot likumības un lietderības apsvērumus, ir uzskatāms, par lietderīgu </w:t>
            </w:r>
            <w:r w:rsidRPr="00E228E8">
              <w:rPr>
                <w:sz w:val="28"/>
                <w:szCs w:val="28"/>
              </w:rPr>
              <w:t xml:space="preserve">deleģēt </w:t>
            </w:r>
            <w:proofErr w:type="spellStart"/>
            <w:r w:rsidRPr="00E228E8">
              <w:rPr>
                <w:sz w:val="28"/>
                <w:szCs w:val="28"/>
              </w:rPr>
              <w:t>Possessor</w:t>
            </w:r>
            <w:proofErr w:type="spellEnd"/>
            <w:r w:rsidRPr="00E228E8">
              <w:rPr>
                <w:sz w:val="28"/>
                <w:szCs w:val="28"/>
              </w:rPr>
              <w:t xml:space="preserve"> valsts pārvaldes uzdevumu –</w:t>
            </w:r>
            <w:r w:rsidR="00E9307E" w:rsidRPr="00E228E8">
              <w:rPr>
                <w:sz w:val="28"/>
                <w:szCs w:val="28"/>
              </w:rPr>
              <w:t xml:space="preserve"> </w:t>
            </w:r>
            <w:r w:rsidRPr="00E228E8">
              <w:rPr>
                <w:sz w:val="28"/>
                <w:szCs w:val="28"/>
              </w:rPr>
              <w:t xml:space="preserve">valsts vārdā organizēt un veikt valsts </w:t>
            </w:r>
            <w:r w:rsidR="008705EC" w:rsidRPr="00E228E8">
              <w:rPr>
                <w:sz w:val="28"/>
                <w:szCs w:val="28"/>
              </w:rPr>
              <w:t xml:space="preserve">dzīvojamo māju </w:t>
            </w:r>
            <w:r w:rsidRPr="00E228E8">
              <w:rPr>
                <w:sz w:val="28"/>
                <w:szCs w:val="28"/>
              </w:rPr>
              <w:t xml:space="preserve">privatizāciju. Ievērojot minēto, Ekonomikas ministrija ir sagatavojusi Ministru kabineta noteikumu projektu, kas paredz </w:t>
            </w:r>
            <w:r w:rsidR="00415AA7" w:rsidRPr="00E228E8">
              <w:rPr>
                <w:sz w:val="28"/>
                <w:szCs w:val="28"/>
              </w:rPr>
              <w:t xml:space="preserve">deleģēt </w:t>
            </w:r>
            <w:proofErr w:type="spellStart"/>
            <w:r w:rsidR="006255FB" w:rsidRPr="00E228E8">
              <w:rPr>
                <w:sz w:val="28"/>
                <w:szCs w:val="28"/>
              </w:rPr>
              <w:t>Possessor</w:t>
            </w:r>
            <w:proofErr w:type="spellEnd"/>
            <w:r w:rsidR="006255FB" w:rsidRPr="00E228E8">
              <w:rPr>
                <w:sz w:val="28"/>
                <w:szCs w:val="28"/>
              </w:rPr>
              <w:t xml:space="preserve"> valsts pārvaldes uzdevumu: valsts vārdā organizēt un veikt </w:t>
            </w:r>
            <w:r w:rsidRPr="00E228E8">
              <w:rPr>
                <w:sz w:val="28"/>
                <w:szCs w:val="28"/>
              </w:rPr>
              <w:t xml:space="preserve">valsts </w:t>
            </w:r>
            <w:r w:rsidR="008705EC" w:rsidRPr="00E228E8">
              <w:rPr>
                <w:sz w:val="28"/>
                <w:szCs w:val="28"/>
              </w:rPr>
              <w:t>dzīvojamo māju</w:t>
            </w:r>
            <w:r w:rsidRPr="00E228E8">
              <w:rPr>
                <w:sz w:val="28"/>
                <w:szCs w:val="28"/>
              </w:rPr>
              <w:t xml:space="preserve"> privatizāciju</w:t>
            </w:r>
            <w:r w:rsidR="006255FB" w:rsidRPr="00E228E8">
              <w:rPr>
                <w:sz w:val="28"/>
                <w:szCs w:val="28"/>
              </w:rPr>
              <w:t xml:space="preserve">, t.i. būt par valsts dzīvojamo māju privatizāciju veicošo institūciju Privatizācijas likuma izpratnē. Sagatavotais </w:t>
            </w:r>
            <w:r w:rsidRPr="00E228E8">
              <w:rPr>
                <w:sz w:val="28"/>
                <w:szCs w:val="28"/>
              </w:rPr>
              <w:t xml:space="preserve">Ministru kabineta noteikumu projekts paredz apstiprināt līguma projektu “Līgums par valsts </w:t>
            </w:r>
            <w:r w:rsidR="008705EC" w:rsidRPr="00E228E8">
              <w:rPr>
                <w:sz w:val="28"/>
                <w:szCs w:val="28"/>
              </w:rPr>
              <w:t>dzīvojamo māju</w:t>
            </w:r>
            <w:r w:rsidRPr="00E228E8">
              <w:rPr>
                <w:sz w:val="28"/>
                <w:szCs w:val="28"/>
              </w:rPr>
              <w:t xml:space="preserve"> privatizāciju veicošās institūcijas pārvaldes uzdevuma veikšanu”</w:t>
            </w:r>
            <w:r w:rsidR="00E9307E" w:rsidRPr="00E228E8">
              <w:rPr>
                <w:sz w:val="28"/>
                <w:szCs w:val="28"/>
              </w:rPr>
              <w:t xml:space="preserve"> (turpmāk – Līgums)</w:t>
            </w:r>
            <w:r w:rsidRPr="00E228E8">
              <w:rPr>
                <w:sz w:val="28"/>
                <w:szCs w:val="28"/>
              </w:rPr>
              <w:t xml:space="preserve">, </w:t>
            </w:r>
            <w:r w:rsidR="006255FB" w:rsidRPr="00E228E8">
              <w:rPr>
                <w:sz w:val="28"/>
                <w:szCs w:val="28"/>
              </w:rPr>
              <w:t>kas izstrādāts saskaņā ar Valsts pārvaldes iekārtas likuma V nodaļas noteikumiem. Ministru kabineta noteikumu projektā ietverts pilnvarojums E</w:t>
            </w:r>
            <w:r w:rsidRPr="00E228E8">
              <w:rPr>
                <w:sz w:val="28"/>
                <w:szCs w:val="28"/>
              </w:rPr>
              <w:t>konomikas ministrijai</w:t>
            </w:r>
            <w:r w:rsidR="006255FB" w:rsidRPr="00E228E8">
              <w:rPr>
                <w:sz w:val="28"/>
                <w:szCs w:val="28"/>
              </w:rPr>
              <w:t xml:space="preserve"> noslēgt</w:t>
            </w:r>
            <w:r w:rsidR="0029142E" w:rsidRPr="00E228E8">
              <w:rPr>
                <w:sz w:val="28"/>
                <w:szCs w:val="28"/>
              </w:rPr>
              <w:t xml:space="preserve"> Līgumu</w:t>
            </w:r>
            <w:r w:rsidRPr="00E228E8">
              <w:rPr>
                <w:sz w:val="28"/>
                <w:szCs w:val="28"/>
              </w:rPr>
              <w:t xml:space="preserve">. </w:t>
            </w:r>
          </w:p>
          <w:p w14:paraId="0A6186F3" w14:textId="77777777" w:rsidR="00C77D4E" w:rsidRPr="00E228E8" w:rsidRDefault="008705EC" w:rsidP="00C77D4E">
            <w:pPr>
              <w:pStyle w:val="FootnoteText"/>
              <w:spacing w:after="120"/>
              <w:ind w:firstLine="709"/>
              <w:jc w:val="both"/>
              <w:rPr>
                <w:sz w:val="28"/>
                <w:szCs w:val="28"/>
              </w:rPr>
            </w:pPr>
            <w:r w:rsidRPr="00E228E8">
              <w:rPr>
                <w:sz w:val="28"/>
                <w:szCs w:val="28"/>
              </w:rPr>
              <w:t>Saskaņā ar Privatizācijas lik</w:t>
            </w:r>
            <w:r w:rsidR="003844E3" w:rsidRPr="00E228E8">
              <w:rPr>
                <w:sz w:val="28"/>
                <w:szCs w:val="28"/>
              </w:rPr>
              <w:t>u</w:t>
            </w:r>
            <w:r w:rsidRPr="00E228E8">
              <w:rPr>
                <w:sz w:val="28"/>
                <w:szCs w:val="28"/>
              </w:rPr>
              <w:t xml:space="preserve">ma 67.panta piektajā daļā noteikto, </w:t>
            </w:r>
            <w:r w:rsidR="007A185E" w:rsidRPr="00E228E8">
              <w:rPr>
                <w:sz w:val="28"/>
                <w:szCs w:val="28"/>
              </w:rPr>
              <w:t xml:space="preserve">no līdzekļiem, kas ieskaitīti valsts pamatbudžetā saskaņā ar gadskārtējo valsts budžeta likumu, valsts dzīvojamo māju privatizāciju veicošā institūcija saņem dotāciju no vispārējiem ieņēmumiem un to izmanto </w:t>
            </w:r>
            <w:r w:rsidR="003844E3" w:rsidRPr="00E228E8">
              <w:rPr>
                <w:sz w:val="28"/>
                <w:szCs w:val="28"/>
              </w:rPr>
              <w:t>dzīvojamo māju privatizācijas procesa finansē</w:t>
            </w:r>
            <w:r w:rsidR="007A185E" w:rsidRPr="00E228E8">
              <w:rPr>
                <w:sz w:val="28"/>
                <w:szCs w:val="28"/>
              </w:rPr>
              <w:t>šanai</w:t>
            </w:r>
            <w:r w:rsidR="003844E3" w:rsidRPr="00E228E8">
              <w:rPr>
                <w:sz w:val="28"/>
                <w:szCs w:val="28"/>
              </w:rPr>
              <w:t>, dzīvojamo māju uzturēšan</w:t>
            </w:r>
            <w:r w:rsidR="007A185E" w:rsidRPr="00E228E8">
              <w:rPr>
                <w:sz w:val="28"/>
                <w:szCs w:val="28"/>
              </w:rPr>
              <w:t>ai</w:t>
            </w:r>
            <w:r w:rsidR="003844E3" w:rsidRPr="00E228E8">
              <w:rPr>
                <w:sz w:val="28"/>
                <w:szCs w:val="28"/>
              </w:rPr>
              <w:t xml:space="preserve"> to privatizācijas</w:t>
            </w:r>
            <w:r w:rsidR="007A185E" w:rsidRPr="00E228E8">
              <w:rPr>
                <w:sz w:val="28"/>
                <w:szCs w:val="28"/>
              </w:rPr>
              <w:t xml:space="preserve"> procesa</w:t>
            </w:r>
            <w:r w:rsidR="003844E3" w:rsidRPr="00E228E8">
              <w:rPr>
                <w:sz w:val="28"/>
                <w:szCs w:val="28"/>
              </w:rPr>
              <w:t xml:space="preserve"> laikā, privatizēto dzīvojamo māju uzturēšanas un </w:t>
            </w:r>
            <w:r w:rsidR="007A185E" w:rsidRPr="00E228E8">
              <w:rPr>
                <w:sz w:val="28"/>
                <w:szCs w:val="28"/>
              </w:rPr>
              <w:t>apsaimniekošanas</w:t>
            </w:r>
            <w:r w:rsidR="003844E3" w:rsidRPr="00E228E8">
              <w:rPr>
                <w:sz w:val="28"/>
                <w:szCs w:val="28"/>
              </w:rPr>
              <w:t xml:space="preserve"> </w:t>
            </w:r>
            <w:r w:rsidR="007A185E" w:rsidRPr="00E228E8">
              <w:rPr>
                <w:sz w:val="28"/>
                <w:szCs w:val="28"/>
              </w:rPr>
              <w:lastRenderedPageBreak/>
              <w:t>organizēšanai, kā arī Privatizācijas likuma 59.pantā noteikto funkciju veikšanai.</w:t>
            </w:r>
          </w:p>
          <w:p w14:paraId="5A82D365" w14:textId="029962C4" w:rsidR="00BE6894" w:rsidRPr="00E228E8" w:rsidRDefault="00715ABB" w:rsidP="00486FAA">
            <w:pPr>
              <w:pStyle w:val="FootnoteText"/>
              <w:spacing w:after="120"/>
              <w:ind w:firstLine="709"/>
              <w:jc w:val="both"/>
              <w:rPr>
                <w:sz w:val="28"/>
                <w:szCs w:val="28"/>
              </w:rPr>
            </w:pPr>
            <w:r w:rsidRPr="00E228E8">
              <w:rPr>
                <w:sz w:val="28"/>
                <w:szCs w:val="28"/>
              </w:rPr>
              <w:t>Sagatavotais Ministru kabineta noteikumu projekts paredz, ka a</w:t>
            </w:r>
            <w:r w:rsidR="00BE6894" w:rsidRPr="00E228E8">
              <w:rPr>
                <w:sz w:val="28"/>
                <w:szCs w:val="28"/>
              </w:rPr>
              <w:t xml:space="preserve">r valsts pārvaldes uzdevuma veikšanu saistītie </w:t>
            </w:r>
            <w:proofErr w:type="spellStart"/>
            <w:r w:rsidR="00BE6894" w:rsidRPr="00E228E8">
              <w:rPr>
                <w:sz w:val="28"/>
                <w:szCs w:val="28"/>
              </w:rPr>
              <w:t>Possessor</w:t>
            </w:r>
            <w:proofErr w:type="spellEnd"/>
            <w:r w:rsidR="00BE6894" w:rsidRPr="00E228E8">
              <w:rPr>
                <w:sz w:val="28"/>
                <w:szCs w:val="28"/>
              </w:rPr>
              <w:t xml:space="preserve"> izdevumi tiek segti no valsts budžeta saskaņā ar </w:t>
            </w:r>
            <w:r w:rsidR="00774AE5" w:rsidRPr="00E228E8">
              <w:rPr>
                <w:sz w:val="28"/>
                <w:szCs w:val="28"/>
              </w:rPr>
              <w:t xml:space="preserve">Privatizācijas </w:t>
            </w:r>
            <w:r w:rsidR="00BE6894" w:rsidRPr="00E228E8">
              <w:rPr>
                <w:sz w:val="28"/>
                <w:szCs w:val="28"/>
              </w:rPr>
              <w:t xml:space="preserve">likuma 67.panta piektajā daļā noteikto vai no likuma "Par valsts un pašvaldību īpašuma objektu privatizāciju" 11.panta otrajā daļā noteiktā rezerves fonda (turpmāk – rezerves fonds), ja valsts budžeta likumā kārtējam gadam tam nav paredzēts finansējums. </w:t>
            </w:r>
          </w:p>
          <w:p w14:paraId="67F4AF97" w14:textId="77777777" w:rsidR="00BE6894" w:rsidRPr="00E228E8" w:rsidRDefault="00E9307E">
            <w:pPr>
              <w:pStyle w:val="FootnoteText"/>
              <w:spacing w:after="120"/>
              <w:ind w:firstLine="709"/>
              <w:jc w:val="both"/>
              <w:rPr>
                <w:sz w:val="28"/>
                <w:szCs w:val="28"/>
              </w:rPr>
            </w:pPr>
            <w:bookmarkStart w:id="1" w:name="p8"/>
            <w:bookmarkStart w:id="2" w:name="p-601239"/>
            <w:bookmarkEnd w:id="1"/>
            <w:bookmarkEnd w:id="2"/>
            <w:r w:rsidRPr="00E228E8">
              <w:rPr>
                <w:sz w:val="28"/>
                <w:szCs w:val="28"/>
              </w:rPr>
              <w:t>L</w:t>
            </w:r>
            <w:r w:rsidR="00540955" w:rsidRPr="00E228E8">
              <w:rPr>
                <w:sz w:val="28"/>
                <w:szCs w:val="28"/>
              </w:rPr>
              <w:t>ikuma “Par valsts un pašvaldību īpašuma objektu privatizāciju” 11.panta otrā daļa noteic kādiem mērķiem rezerves fonda līdzekļi izmantojami, t.sk. valsts dzīvojamo māju privatizācijas, atsavināšanas un apsaimniekošanas procesa organizatoriskajam nodrošinājumam.</w:t>
            </w:r>
          </w:p>
          <w:p w14:paraId="31013542" w14:textId="129561FE" w:rsidR="00540955" w:rsidRPr="00E228E8" w:rsidRDefault="00486FAA">
            <w:pPr>
              <w:pStyle w:val="FootnoteText"/>
              <w:spacing w:after="120"/>
              <w:ind w:firstLine="709"/>
              <w:jc w:val="both"/>
              <w:rPr>
                <w:sz w:val="28"/>
                <w:szCs w:val="28"/>
              </w:rPr>
            </w:pPr>
            <w:r>
              <w:rPr>
                <w:sz w:val="28"/>
                <w:szCs w:val="28"/>
              </w:rPr>
              <w:t xml:space="preserve">Attiecīgi, lai nodrošinātu Ministru kabineta noteikto valsts pārvaldes finansēšanas kārtību, tad </w:t>
            </w:r>
            <w:proofErr w:type="spellStart"/>
            <w:r w:rsidR="00C9145E" w:rsidRPr="00E228E8">
              <w:rPr>
                <w:sz w:val="28"/>
                <w:szCs w:val="28"/>
              </w:rPr>
              <w:t>Possessor</w:t>
            </w:r>
            <w:proofErr w:type="spellEnd"/>
            <w:r w:rsidR="00C9145E" w:rsidRPr="00E228E8">
              <w:rPr>
                <w:sz w:val="28"/>
                <w:szCs w:val="28"/>
              </w:rPr>
              <w:t xml:space="preserve"> </w:t>
            </w:r>
            <w:r w:rsidR="00E9307E" w:rsidRPr="00E228E8">
              <w:rPr>
                <w:sz w:val="28"/>
                <w:szCs w:val="28"/>
              </w:rPr>
              <w:t>L</w:t>
            </w:r>
            <w:r w:rsidR="00C9145E" w:rsidRPr="00E228E8">
              <w:rPr>
                <w:sz w:val="28"/>
                <w:szCs w:val="28"/>
              </w:rPr>
              <w:t xml:space="preserve">īgumā noteiktajā kārtībā iesniegs Ekonomikas ministrijai </w:t>
            </w:r>
            <w:r w:rsidR="00FC71C4" w:rsidRPr="00E228E8">
              <w:rPr>
                <w:sz w:val="28"/>
                <w:szCs w:val="28"/>
              </w:rPr>
              <w:t xml:space="preserve">ar valsts pārvaldes uzdevuma veikšanu saistīto </w:t>
            </w:r>
            <w:r w:rsidR="00C9145E" w:rsidRPr="00E228E8">
              <w:rPr>
                <w:sz w:val="28"/>
                <w:szCs w:val="28"/>
              </w:rPr>
              <w:t xml:space="preserve">izdevumu tāmi un tās pamatojumu. </w:t>
            </w:r>
            <w:r w:rsidR="005149C3" w:rsidRPr="00E228E8">
              <w:rPr>
                <w:sz w:val="28"/>
                <w:szCs w:val="28"/>
              </w:rPr>
              <w:t>Ekonomikas ministrija izvērtē</w:t>
            </w:r>
            <w:r w:rsidR="00FC71C4" w:rsidRPr="00E228E8">
              <w:rPr>
                <w:sz w:val="28"/>
                <w:szCs w:val="28"/>
              </w:rPr>
              <w:t>s</w:t>
            </w:r>
            <w:r w:rsidR="005149C3" w:rsidRPr="00E228E8">
              <w:rPr>
                <w:sz w:val="28"/>
                <w:szCs w:val="28"/>
              </w:rPr>
              <w:t xml:space="preserve"> deleģētā pārvaldes uzdevuma izpildes atbilstību </w:t>
            </w:r>
            <w:r w:rsidR="00E9307E" w:rsidRPr="00E228E8">
              <w:rPr>
                <w:sz w:val="28"/>
                <w:szCs w:val="28"/>
              </w:rPr>
              <w:t>L</w:t>
            </w:r>
            <w:r w:rsidR="005149C3" w:rsidRPr="00E228E8">
              <w:rPr>
                <w:sz w:val="28"/>
                <w:szCs w:val="28"/>
              </w:rPr>
              <w:t>īgumā noteiktajam uzdevumam, sasniegtajam rezultātam un rezultatīvajam rādītājam</w:t>
            </w:r>
            <w:r w:rsidR="00FC71C4" w:rsidRPr="00E228E8">
              <w:rPr>
                <w:sz w:val="28"/>
                <w:szCs w:val="28"/>
              </w:rPr>
              <w:t xml:space="preserve"> un ar lēmumu apstiprinās </w:t>
            </w:r>
            <w:proofErr w:type="spellStart"/>
            <w:r w:rsidR="00CE468C" w:rsidRPr="00E228E8">
              <w:rPr>
                <w:sz w:val="28"/>
                <w:szCs w:val="28"/>
                <w:lang w:eastAsia="lv-LV"/>
              </w:rPr>
              <w:t>Possessor</w:t>
            </w:r>
            <w:proofErr w:type="spellEnd"/>
            <w:r w:rsidR="00CE468C" w:rsidRPr="00E228E8">
              <w:rPr>
                <w:sz w:val="28"/>
                <w:szCs w:val="28"/>
                <w:lang w:eastAsia="lv-LV"/>
              </w:rPr>
              <w:t xml:space="preserve"> izmaksājamo līdzekļu apmēru par valsts pārvaldes uzdevuma veikšanu.</w:t>
            </w:r>
            <w:r w:rsidR="005149C3" w:rsidRPr="00E228E8">
              <w:rPr>
                <w:sz w:val="28"/>
                <w:szCs w:val="28"/>
              </w:rPr>
              <w:t xml:space="preserve"> </w:t>
            </w:r>
            <w:r w:rsidR="00863990" w:rsidRPr="00E228E8">
              <w:rPr>
                <w:sz w:val="28"/>
                <w:szCs w:val="28"/>
              </w:rPr>
              <w:t xml:space="preserve">Saskaņā ar apstiprināto tāmi </w:t>
            </w:r>
            <w:r w:rsidR="00C9145E" w:rsidRPr="00E228E8">
              <w:rPr>
                <w:sz w:val="28"/>
                <w:szCs w:val="28"/>
              </w:rPr>
              <w:t xml:space="preserve">Ekonomikas ministrija </w:t>
            </w:r>
            <w:r w:rsidR="00CE468C" w:rsidRPr="00E228E8">
              <w:rPr>
                <w:sz w:val="28"/>
                <w:szCs w:val="28"/>
              </w:rPr>
              <w:t xml:space="preserve">katru gadu </w:t>
            </w:r>
            <w:r w:rsidR="00FC71C4" w:rsidRPr="00E228E8">
              <w:rPr>
                <w:sz w:val="28"/>
                <w:szCs w:val="28"/>
              </w:rPr>
              <w:t>iesniegs</w:t>
            </w:r>
            <w:r w:rsidR="00863990" w:rsidRPr="00E228E8">
              <w:rPr>
                <w:sz w:val="28"/>
                <w:szCs w:val="28"/>
              </w:rPr>
              <w:t xml:space="preserve"> pieprasījumu valsts budžeta likumā par valsts pārvaldes uzdevuma veikšanai nepieciešamo </w:t>
            </w:r>
            <w:r w:rsidR="00CE468C" w:rsidRPr="00E228E8">
              <w:rPr>
                <w:sz w:val="28"/>
                <w:szCs w:val="28"/>
              </w:rPr>
              <w:t xml:space="preserve">finanšu </w:t>
            </w:r>
            <w:r w:rsidR="000C3ECD" w:rsidRPr="00E228E8">
              <w:rPr>
                <w:sz w:val="28"/>
                <w:szCs w:val="28"/>
              </w:rPr>
              <w:t xml:space="preserve">līdzekļu piešķiršanu. </w:t>
            </w:r>
          </w:p>
          <w:p w14:paraId="1664F30E" w14:textId="45F17442" w:rsidR="00DD75BE" w:rsidRDefault="00DD75BE" w:rsidP="000C3ECD">
            <w:pPr>
              <w:pStyle w:val="FootnoteText"/>
              <w:spacing w:after="120"/>
              <w:ind w:firstLine="709"/>
              <w:jc w:val="both"/>
              <w:rPr>
                <w:sz w:val="28"/>
                <w:szCs w:val="28"/>
              </w:rPr>
            </w:pPr>
            <w:r w:rsidRPr="00E228E8">
              <w:rPr>
                <w:sz w:val="28"/>
                <w:szCs w:val="28"/>
              </w:rPr>
              <w:t xml:space="preserve">Ja valsts budžeta likumā kārtējam gadam tiek piešķirti līdzekļi par valsts pārvaldes uzdevuma veikšanu, Ekonomikas ministrija piešķirtos budžeta līdzekļus </w:t>
            </w:r>
            <w:r w:rsidR="00E9307E" w:rsidRPr="00E228E8">
              <w:rPr>
                <w:sz w:val="28"/>
                <w:szCs w:val="28"/>
              </w:rPr>
              <w:t>L</w:t>
            </w:r>
            <w:r w:rsidRPr="00E228E8">
              <w:rPr>
                <w:sz w:val="28"/>
                <w:szCs w:val="28"/>
              </w:rPr>
              <w:t xml:space="preserve">īgumā noteiktajā kārtībā pārskaita </w:t>
            </w:r>
            <w:proofErr w:type="spellStart"/>
            <w:r w:rsidR="005B4A15" w:rsidRPr="00E228E8">
              <w:rPr>
                <w:sz w:val="28"/>
                <w:szCs w:val="28"/>
              </w:rPr>
              <w:t>Possessor</w:t>
            </w:r>
            <w:proofErr w:type="spellEnd"/>
            <w:r w:rsidRPr="00E228E8">
              <w:rPr>
                <w:sz w:val="28"/>
                <w:szCs w:val="28"/>
              </w:rPr>
              <w:t xml:space="preserve"> iepriekšējā gadā izlietotos finanšu līdzekļu</w:t>
            </w:r>
            <w:r w:rsidR="00810B11">
              <w:rPr>
                <w:sz w:val="28"/>
                <w:szCs w:val="28"/>
              </w:rPr>
              <w:t xml:space="preserve"> apmērā</w:t>
            </w:r>
            <w:r w:rsidR="005B4A15" w:rsidRPr="00E228E8">
              <w:rPr>
                <w:sz w:val="28"/>
                <w:szCs w:val="28"/>
              </w:rPr>
              <w:t xml:space="preserve">. Savukārt, ja </w:t>
            </w:r>
            <w:r w:rsidRPr="00E228E8">
              <w:rPr>
                <w:sz w:val="28"/>
                <w:szCs w:val="28"/>
              </w:rPr>
              <w:t xml:space="preserve">valsts budžeta </w:t>
            </w:r>
            <w:r w:rsidR="005B4A15" w:rsidRPr="00E228E8">
              <w:rPr>
                <w:sz w:val="28"/>
                <w:szCs w:val="28"/>
              </w:rPr>
              <w:t xml:space="preserve">dotācija </w:t>
            </w:r>
            <w:r w:rsidRPr="00E228E8">
              <w:rPr>
                <w:sz w:val="28"/>
                <w:szCs w:val="28"/>
              </w:rPr>
              <w:t>netiek piešķirt</w:t>
            </w:r>
            <w:r w:rsidR="005B4A15" w:rsidRPr="00E228E8">
              <w:rPr>
                <w:sz w:val="28"/>
                <w:szCs w:val="28"/>
              </w:rPr>
              <w:t>a, izdevumi</w:t>
            </w:r>
            <w:r w:rsidRPr="00E228E8">
              <w:rPr>
                <w:sz w:val="28"/>
                <w:szCs w:val="28"/>
              </w:rPr>
              <w:t xml:space="preserve"> tiek segti no rezerves fonda</w:t>
            </w:r>
            <w:r w:rsidR="005B4A15" w:rsidRPr="00E228E8">
              <w:rPr>
                <w:sz w:val="28"/>
                <w:szCs w:val="28"/>
              </w:rPr>
              <w:t xml:space="preserve">. </w:t>
            </w:r>
            <w:r w:rsidR="00E9307E" w:rsidRPr="00E228E8">
              <w:rPr>
                <w:sz w:val="28"/>
                <w:szCs w:val="28"/>
              </w:rPr>
              <w:t>Faktiski n</w:t>
            </w:r>
            <w:r w:rsidR="00FC71C4" w:rsidRPr="00E228E8">
              <w:rPr>
                <w:sz w:val="28"/>
                <w:szCs w:val="28"/>
              </w:rPr>
              <w:t xml:space="preserve">orēķins par valsts pārvaldes uzdevuma </w:t>
            </w:r>
            <w:r w:rsidR="00CE468C" w:rsidRPr="00E228E8">
              <w:rPr>
                <w:sz w:val="28"/>
                <w:szCs w:val="28"/>
              </w:rPr>
              <w:t>veikšanu</w:t>
            </w:r>
            <w:r w:rsidR="00FC71C4" w:rsidRPr="00E228E8">
              <w:rPr>
                <w:sz w:val="28"/>
                <w:szCs w:val="28"/>
              </w:rPr>
              <w:t xml:space="preserve"> tiks veikts nākamajā gadā</w:t>
            </w:r>
            <w:r w:rsidR="00E9307E" w:rsidRPr="00E228E8">
              <w:rPr>
                <w:sz w:val="28"/>
                <w:szCs w:val="28"/>
              </w:rPr>
              <w:t xml:space="preserve">, kompensējot </w:t>
            </w:r>
            <w:proofErr w:type="spellStart"/>
            <w:r w:rsidR="00E9307E" w:rsidRPr="00E228E8">
              <w:rPr>
                <w:sz w:val="28"/>
                <w:szCs w:val="28"/>
              </w:rPr>
              <w:t>Possessor</w:t>
            </w:r>
            <w:proofErr w:type="spellEnd"/>
            <w:r w:rsidR="00E9307E" w:rsidRPr="00E228E8">
              <w:rPr>
                <w:sz w:val="28"/>
                <w:szCs w:val="28"/>
              </w:rPr>
              <w:t xml:space="preserve"> veiktos </w:t>
            </w:r>
            <w:r w:rsidR="00E9307E" w:rsidRPr="00E228E8">
              <w:rPr>
                <w:sz w:val="28"/>
                <w:szCs w:val="28"/>
              </w:rPr>
              <w:lastRenderedPageBreak/>
              <w:t>izdevumus.</w:t>
            </w:r>
            <w:r w:rsidR="00373E19">
              <w:rPr>
                <w:sz w:val="28"/>
                <w:szCs w:val="28"/>
              </w:rPr>
              <w:t xml:space="preserve"> Attiecīgi, lai nodrošinātu ar valsts dzīvojamo māju privatizāciju saistīto funkciju veikšanu, līdz finansējuma saņemšanai par valsts pārvaldes uzdevuma izpildi </w:t>
            </w:r>
            <w:proofErr w:type="spellStart"/>
            <w:r w:rsidR="00373E19">
              <w:rPr>
                <w:sz w:val="28"/>
                <w:szCs w:val="28"/>
              </w:rPr>
              <w:t>Possessor</w:t>
            </w:r>
            <w:proofErr w:type="spellEnd"/>
            <w:r w:rsidR="00373E19">
              <w:rPr>
                <w:sz w:val="28"/>
                <w:szCs w:val="28"/>
              </w:rPr>
              <w:t xml:space="preserve"> finansē no saviem līdzekļiem.</w:t>
            </w:r>
          </w:p>
          <w:p w14:paraId="4DA0A9DC" w14:textId="28BC32FC" w:rsidR="00373E19" w:rsidRPr="00E228E8" w:rsidRDefault="00373E19" w:rsidP="00373E19">
            <w:pPr>
              <w:pStyle w:val="FootnoteText"/>
              <w:spacing w:after="120"/>
              <w:ind w:firstLine="709"/>
              <w:jc w:val="both"/>
              <w:rPr>
                <w:sz w:val="28"/>
                <w:szCs w:val="28"/>
              </w:rPr>
            </w:pPr>
            <w:r>
              <w:rPr>
                <w:sz w:val="28"/>
                <w:szCs w:val="28"/>
              </w:rPr>
              <w:t>Tā pat n</w:t>
            </w:r>
            <w:r w:rsidRPr="00E228E8">
              <w:rPr>
                <w:sz w:val="28"/>
                <w:szCs w:val="28"/>
              </w:rPr>
              <w:t xml:space="preserve">oteikumu projekts paredz, ja ar valsts pārvaldes uzdevuma veikšanu saistītie izdevumi </w:t>
            </w:r>
            <w:r>
              <w:rPr>
                <w:sz w:val="28"/>
                <w:szCs w:val="28"/>
              </w:rPr>
              <w:t xml:space="preserve">ir </w:t>
            </w:r>
            <w:r w:rsidRPr="00E228E8">
              <w:rPr>
                <w:sz w:val="28"/>
                <w:szCs w:val="28"/>
              </w:rPr>
              <w:t>segti no rezerves fonda</w:t>
            </w:r>
            <w:r>
              <w:rPr>
                <w:sz w:val="28"/>
                <w:szCs w:val="28"/>
              </w:rPr>
              <w:t xml:space="preserve"> (ja attiecīgajam gadam valsts budžetā tam nav paredzēts finansējums)</w:t>
            </w:r>
            <w:r w:rsidRPr="00E228E8">
              <w:rPr>
                <w:sz w:val="28"/>
                <w:szCs w:val="28"/>
              </w:rPr>
              <w:t xml:space="preserve">, pirms privatizācijas ieņēmumu pārskaitīšanas valsts budžetā rezerves fondā tiek atgriezti no tā saņemtie līdzekļi. </w:t>
            </w:r>
          </w:p>
          <w:p w14:paraId="39CD1DE7" w14:textId="161CAA5F" w:rsidR="00B05CD4" w:rsidRPr="00E228E8" w:rsidRDefault="00373E19">
            <w:pPr>
              <w:pStyle w:val="FootnoteText"/>
              <w:spacing w:after="120"/>
              <w:ind w:firstLine="709"/>
              <w:jc w:val="both"/>
              <w:rPr>
                <w:sz w:val="28"/>
                <w:szCs w:val="28"/>
              </w:rPr>
            </w:pPr>
            <w:r>
              <w:rPr>
                <w:sz w:val="28"/>
                <w:szCs w:val="28"/>
              </w:rPr>
              <w:t xml:space="preserve">Citā starpa ir jānorāda, ka </w:t>
            </w:r>
            <w:r w:rsidR="00B05CD4" w:rsidRPr="00E228E8">
              <w:rPr>
                <w:sz w:val="28"/>
                <w:szCs w:val="28"/>
              </w:rPr>
              <w:t xml:space="preserve">Ekonomikas ministrijai ir tiesības </w:t>
            </w:r>
            <w:r w:rsidR="005B4A15" w:rsidRPr="00E228E8">
              <w:rPr>
                <w:sz w:val="28"/>
                <w:szCs w:val="28"/>
              </w:rPr>
              <w:t>pie</w:t>
            </w:r>
            <w:r w:rsidR="00B05CD4" w:rsidRPr="00E228E8">
              <w:rPr>
                <w:sz w:val="28"/>
                <w:szCs w:val="28"/>
              </w:rPr>
              <w:t xml:space="preserve">prasīt papildu informāciju no </w:t>
            </w:r>
            <w:proofErr w:type="spellStart"/>
            <w:r w:rsidR="00B05CD4" w:rsidRPr="00E228E8">
              <w:rPr>
                <w:sz w:val="28"/>
                <w:szCs w:val="28"/>
              </w:rPr>
              <w:t>Possessor</w:t>
            </w:r>
            <w:proofErr w:type="spellEnd"/>
            <w:r w:rsidR="00B05CD4" w:rsidRPr="00E228E8">
              <w:rPr>
                <w:sz w:val="28"/>
                <w:szCs w:val="28"/>
              </w:rPr>
              <w:t xml:space="preserve"> par valsts pārvaldes uzdevuma veikšanu un piešķirtā finansējuma izlietojumu.</w:t>
            </w:r>
          </w:p>
          <w:p w14:paraId="0D00FB24" w14:textId="77777777" w:rsidR="00AC3066" w:rsidRPr="00E228E8" w:rsidRDefault="00DE655A">
            <w:pPr>
              <w:pStyle w:val="FootnoteText"/>
              <w:spacing w:after="120"/>
              <w:ind w:firstLine="709"/>
              <w:jc w:val="both"/>
              <w:rPr>
                <w:sz w:val="28"/>
                <w:szCs w:val="28"/>
              </w:rPr>
            </w:pPr>
            <w:proofErr w:type="spellStart"/>
            <w:r w:rsidRPr="00E228E8">
              <w:rPr>
                <w:sz w:val="28"/>
                <w:szCs w:val="28"/>
              </w:rPr>
              <w:t>Possessor</w:t>
            </w:r>
            <w:proofErr w:type="spellEnd"/>
            <w:r w:rsidRPr="00E228E8">
              <w:rPr>
                <w:sz w:val="28"/>
                <w:szCs w:val="28"/>
              </w:rPr>
              <w:t xml:space="preserve"> saglabāsies līdz šim veicamo funkciju apjoms un atbildība. Tiks nodrošināta </w:t>
            </w:r>
            <w:r w:rsidR="006255FB" w:rsidRPr="00E228E8">
              <w:rPr>
                <w:sz w:val="28"/>
                <w:szCs w:val="28"/>
              </w:rPr>
              <w:t xml:space="preserve">valsts dzīvojamo māju privatizācijas </w:t>
            </w:r>
            <w:r w:rsidRPr="00E228E8">
              <w:rPr>
                <w:sz w:val="28"/>
                <w:szCs w:val="28"/>
              </w:rPr>
              <w:t>nepārtrauktība</w:t>
            </w:r>
            <w:r w:rsidR="006255FB" w:rsidRPr="00E228E8">
              <w:rPr>
                <w:sz w:val="28"/>
                <w:szCs w:val="28"/>
              </w:rPr>
              <w:t>.</w:t>
            </w:r>
            <w:r w:rsidR="000C3ECD" w:rsidRPr="00E228E8">
              <w:rPr>
                <w:sz w:val="28"/>
                <w:szCs w:val="28"/>
              </w:rPr>
              <w:t xml:space="preserve"> </w:t>
            </w:r>
            <w:r w:rsidRPr="00E228E8">
              <w:rPr>
                <w:sz w:val="28"/>
                <w:szCs w:val="28"/>
              </w:rPr>
              <w:t xml:space="preserve">Privatizācijas subjektiem un personām, kuras noslēgušas valsts </w:t>
            </w:r>
            <w:r w:rsidR="006255FB" w:rsidRPr="00E228E8">
              <w:rPr>
                <w:sz w:val="28"/>
                <w:szCs w:val="28"/>
              </w:rPr>
              <w:t xml:space="preserve">dzīvojamo māju (dzīvokļu) īres </w:t>
            </w:r>
            <w:r w:rsidRPr="00E228E8">
              <w:rPr>
                <w:sz w:val="28"/>
                <w:szCs w:val="28"/>
              </w:rPr>
              <w:t>vai pirkuma līgumus, pēc Ministru kabineta noteikumu projektā paredzētā normatīvā regulējuma spēkā stāšanās izmaiņas nav gaidāmas un administratīvais slogs netiks palielināts.</w:t>
            </w:r>
          </w:p>
          <w:p w14:paraId="79AF4DD8" w14:textId="2BEC685A" w:rsidR="00AC3066" w:rsidRPr="00E228E8" w:rsidRDefault="00486FAA" w:rsidP="000C3ECD">
            <w:pPr>
              <w:pStyle w:val="FootnoteText"/>
              <w:spacing w:after="120"/>
              <w:ind w:firstLine="709"/>
              <w:jc w:val="both"/>
              <w:rPr>
                <w:sz w:val="28"/>
                <w:szCs w:val="28"/>
              </w:rPr>
            </w:pPr>
            <w:r>
              <w:rPr>
                <w:color w:val="000000"/>
                <w:sz w:val="28"/>
                <w:szCs w:val="28"/>
              </w:rPr>
              <w:t>A</w:t>
            </w:r>
            <w:r w:rsidR="00DE655A" w:rsidRPr="00E228E8">
              <w:rPr>
                <w:color w:val="000000"/>
                <w:sz w:val="28"/>
                <w:szCs w:val="28"/>
              </w:rPr>
              <w:t xml:space="preserve">tbilstoši </w:t>
            </w:r>
            <w:r w:rsidR="00540955" w:rsidRPr="00E228E8">
              <w:rPr>
                <w:color w:val="000000"/>
                <w:sz w:val="28"/>
                <w:szCs w:val="28"/>
              </w:rPr>
              <w:t xml:space="preserve">Privatizācijas </w:t>
            </w:r>
            <w:r w:rsidR="00DE655A" w:rsidRPr="00E228E8">
              <w:rPr>
                <w:color w:val="000000"/>
                <w:sz w:val="28"/>
                <w:szCs w:val="28"/>
              </w:rPr>
              <w:t xml:space="preserve">likuma </w:t>
            </w:r>
            <w:proofErr w:type="gramStart"/>
            <w:r w:rsidR="00DE655A" w:rsidRPr="00E228E8">
              <w:rPr>
                <w:color w:val="000000"/>
                <w:sz w:val="28"/>
                <w:szCs w:val="28"/>
              </w:rPr>
              <w:t>67.panta</w:t>
            </w:r>
            <w:proofErr w:type="gramEnd"/>
            <w:r w:rsidR="00DE655A" w:rsidRPr="00E228E8">
              <w:rPr>
                <w:color w:val="000000"/>
                <w:sz w:val="28"/>
                <w:szCs w:val="28"/>
              </w:rPr>
              <w:t xml:space="preserve"> sestajai daļai no rezerves fonda līdzekļiem tiek segti personas nesegtie izdevumi, kas saistīti ar šajā likumā tai deleģētā valsts pārvaldes uzdevuma izpildi – maksājumu saņemšana par privatizējamajiem objektiem, t.i. daudzdzīvokļu mājās esošajiem dzīvokļiem, neapdzīvojamām telpām, mākslinieku darbnīcām, viendzīvokļa un daudzdzīvokļu mājām.</w:t>
            </w:r>
            <w:r w:rsidR="00DE655A" w:rsidRPr="00E228E8">
              <w:rPr>
                <w:sz w:val="28"/>
                <w:szCs w:val="28"/>
              </w:rPr>
              <w:t xml:space="preserve"> Šajā sakarā ir jāatzīmē, ka, lai arī </w:t>
            </w:r>
            <w:r w:rsidR="002311CC" w:rsidRPr="00E228E8">
              <w:rPr>
                <w:sz w:val="28"/>
                <w:szCs w:val="28"/>
              </w:rPr>
              <w:t xml:space="preserve">Privatizācijas </w:t>
            </w:r>
            <w:r w:rsidR="00DE655A" w:rsidRPr="00E228E8">
              <w:rPr>
                <w:sz w:val="28"/>
                <w:szCs w:val="28"/>
              </w:rPr>
              <w:t xml:space="preserve">likuma 67.panta piektajā daļā ir paredzēts </w:t>
            </w:r>
            <w:r w:rsidR="00603C47" w:rsidRPr="00E228E8">
              <w:rPr>
                <w:iCs/>
                <w:sz w:val="28"/>
                <w:szCs w:val="28"/>
              </w:rPr>
              <w:t>valsts dzīvojamo māju privatizāciju veicošajai institūcijai</w:t>
            </w:r>
            <w:r w:rsidR="00DE655A" w:rsidRPr="00E228E8">
              <w:rPr>
                <w:sz w:val="28"/>
                <w:szCs w:val="28"/>
              </w:rPr>
              <w:t xml:space="preserve"> tai deleģēto valsts pārvaldes uzdevum</w:t>
            </w:r>
            <w:r w:rsidR="00E9307E" w:rsidRPr="00E228E8">
              <w:rPr>
                <w:sz w:val="28"/>
                <w:szCs w:val="28"/>
              </w:rPr>
              <w:t>a</w:t>
            </w:r>
            <w:r w:rsidR="00DE655A" w:rsidRPr="00E228E8">
              <w:rPr>
                <w:sz w:val="28"/>
                <w:szCs w:val="28"/>
              </w:rPr>
              <w:t xml:space="preserve"> – dzīvokļu īpašumu privatizācij</w:t>
            </w:r>
            <w:r w:rsidR="008B798E" w:rsidRPr="00E228E8">
              <w:rPr>
                <w:sz w:val="28"/>
                <w:szCs w:val="28"/>
              </w:rPr>
              <w:t>a</w:t>
            </w:r>
            <w:r w:rsidR="00DE655A" w:rsidRPr="00E228E8">
              <w:rPr>
                <w:sz w:val="28"/>
                <w:szCs w:val="28"/>
              </w:rPr>
              <w:t xml:space="preserve"> - izpildei saskaņā ar gadskārtējo valsts budžeta likumu ir jāsaņem dotācij</w:t>
            </w:r>
            <w:bookmarkStart w:id="3" w:name="_GoBack"/>
            <w:r w:rsidR="00F90DF2">
              <w:rPr>
                <w:sz w:val="28"/>
                <w:szCs w:val="28"/>
              </w:rPr>
              <w:t>a</w:t>
            </w:r>
            <w:bookmarkEnd w:id="3"/>
            <w:r w:rsidR="00DE655A" w:rsidRPr="00E228E8">
              <w:rPr>
                <w:sz w:val="28"/>
                <w:szCs w:val="28"/>
              </w:rPr>
              <w:t xml:space="preserve"> no vispārējiem ieņēmumiem, faktiski laika periodā no 2012.-2018.gadam tai nav piešķirta dotācija no valsts budžeta </w:t>
            </w:r>
            <w:r w:rsidR="00DE655A" w:rsidRPr="00E228E8">
              <w:rPr>
                <w:sz w:val="28"/>
                <w:szCs w:val="28"/>
              </w:rPr>
              <w:lastRenderedPageBreak/>
              <w:t>finanšu līdzekļiem un izdevumi tika finansēti no rezerves fonda.</w:t>
            </w:r>
          </w:p>
        </w:tc>
      </w:tr>
      <w:tr w:rsidR="00AC3066" w:rsidRPr="00E228E8" w14:paraId="35D81003" w14:textId="77777777" w:rsidTr="00E228E8">
        <w:trPr>
          <w:trHeight w:val="476"/>
        </w:trPr>
        <w:tc>
          <w:tcPr>
            <w:tcW w:w="424" w:type="dxa"/>
            <w:tcBorders>
              <w:top w:val="single" w:sz="4" w:space="0" w:color="000000"/>
              <w:left w:val="single" w:sz="4" w:space="0" w:color="000000"/>
              <w:bottom w:val="single" w:sz="4" w:space="0" w:color="000000"/>
            </w:tcBorders>
            <w:shd w:val="clear" w:color="auto" w:fill="auto"/>
          </w:tcPr>
          <w:p w14:paraId="20545055" w14:textId="77777777" w:rsidR="00AC3066" w:rsidRPr="00E228E8" w:rsidRDefault="00DE655A">
            <w:pPr>
              <w:ind w:left="57" w:right="57"/>
              <w:contextualSpacing/>
              <w:jc w:val="center"/>
              <w:rPr>
                <w:sz w:val="28"/>
                <w:szCs w:val="28"/>
              </w:rPr>
            </w:pPr>
            <w:r w:rsidRPr="00E228E8">
              <w:rPr>
                <w:sz w:val="28"/>
                <w:szCs w:val="28"/>
              </w:rPr>
              <w:lastRenderedPageBreak/>
              <w:t>3.</w:t>
            </w:r>
          </w:p>
        </w:tc>
        <w:tc>
          <w:tcPr>
            <w:tcW w:w="2375" w:type="dxa"/>
            <w:tcBorders>
              <w:top w:val="single" w:sz="4" w:space="0" w:color="000000"/>
              <w:left w:val="single" w:sz="4" w:space="0" w:color="000000"/>
              <w:bottom w:val="single" w:sz="4" w:space="0" w:color="000000"/>
            </w:tcBorders>
            <w:shd w:val="clear" w:color="auto" w:fill="auto"/>
          </w:tcPr>
          <w:p w14:paraId="5D9AA225" w14:textId="77777777" w:rsidR="00AC3066" w:rsidRPr="00E228E8" w:rsidRDefault="00DE655A">
            <w:pPr>
              <w:ind w:left="57" w:right="57"/>
              <w:contextualSpacing/>
              <w:rPr>
                <w:sz w:val="28"/>
                <w:szCs w:val="28"/>
              </w:rPr>
            </w:pPr>
            <w:r w:rsidRPr="00E228E8">
              <w:rPr>
                <w:sz w:val="28"/>
                <w:szCs w:val="28"/>
              </w:rPr>
              <w:t>Projekta izstrādē iesaistītās institūcijas</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14:paraId="104B5A68" w14:textId="77777777" w:rsidR="00AC3066" w:rsidRPr="00E228E8" w:rsidRDefault="00DE655A">
            <w:pPr>
              <w:ind w:right="57"/>
              <w:contextualSpacing/>
              <w:jc w:val="both"/>
              <w:rPr>
                <w:sz w:val="28"/>
                <w:szCs w:val="28"/>
              </w:rPr>
            </w:pPr>
            <w:r w:rsidRPr="00E228E8">
              <w:rPr>
                <w:sz w:val="28"/>
                <w:szCs w:val="28"/>
              </w:rPr>
              <w:t xml:space="preserve"> Ekonomikas ministrija, </w:t>
            </w:r>
            <w:proofErr w:type="spellStart"/>
            <w:r w:rsidRPr="00E228E8">
              <w:rPr>
                <w:sz w:val="28"/>
                <w:szCs w:val="28"/>
              </w:rPr>
              <w:t>Possessor</w:t>
            </w:r>
            <w:proofErr w:type="spellEnd"/>
          </w:p>
        </w:tc>
      </w:tr>
      <w:tr w:rsidR="00AC3066" w:rsidRPr="00E228E8" w14:paraId="610906CA" w14:textId="77777777" w:rsidTr="00E228E8">
        <w:tc>
          <w:tcPr>
            <w:tcW w:w="424" w:type="dxa"/>
            <w:tcBorders>
              <w:top w:val="single" w:sz="4" w:space="0" w:color="000000"/>
              <w:left w:val="single" w:sz="4" w:space="0" w:color="000000"/>
              <w:bottom w:val="single" w:sz="4" w:space="0" w:color="000000"/>
            </w:tcBorders>
            <w:shd w:val="clear" w:color="auto" w:fill="auto"/>
          </w:tcPr>
          <w:p w14:paraId="3CEB20D3" w14:textId="77777777" w:rsidR="00AC3066" w:rsidRPr="00E228E8" w:rsidRDefault="00DE655A">
            <w:pPr>
              <w:ind w:left="57" w:right="57"/>
              <w:contextualSpacing/>
              <w:jc w:val="center"/>
              <w:rPr>
                <w:sz w:val="28"/>
                <w:szCs w:val="28"/>
              </w:rPr>
            </w:pPr>
            <w:r w:rsidRPr="00E228E8">
              <w:rPr>
                <w:sz w:val="28"/>
                <w:szCs w:val="28"/>
              </w:rPr>
              <w:t>4.</w:t>
            </w:r>
          </w:p>
        </w:tc>
        <w:tc>
          <w:tcPr>
            <w:tcW w:w="2375" w:type="dxa"/>
            <w:tcBorders>
              <w:top w:val="single" w:sz="4" w:space="0" w:color="000000"/>
              <w:left w:val="single" w:sz="4" w:space="0" w:color="000000"/>
              <w:bottom w:val="single" w:sz="4" w:space="0" w:color="000000"/>
            </w:tcBorders>
            <w:shd w:val="clear" w:color="auto" w:fill="auto"/>
          </w:tcPr>
          <w:p w14:paraId="23572169" w14:textId="77777777" w:rsidR="00AC3066" w:rsidRPr="00E228E8" w:rsidRDefault="00DE655A">
            <w:pPr>
              <w:ind w:left="57" w:right="57"/>
              <w:contextualSpacing/>
              <w:rPr>
                <w:sz w:val="28"/>
                <w:szCs w:val="28"/>
              </w:rPr>
            </w:pPr>
            <w:r w:rsidRPr="00E228E8">
              <w:rPr>
                <w:sz w:val="28"/>
                <w:szCs w:val="28"/>
              </w:rPr>
              <w:t>Cita informācija</w:t>
            </w:r>
          </w:p>
        </w:tc>
        <w:tc>
          <w:tcPr>
            <w:tcW w:w="6262" w:type="dxa"/>
            <w:tcBorders>
              <w:top w:val="single" w:sz="4" w:space="0" w:color="000000"/>
              <w:left w:val="single" w:sz="4" w:space="0" w:color="000000"/>
              <w:bottom w:val="single" w:sz="4" w:space="0" w:color="000000"/>
              <w:right w:val="single" w:sz="4" w:space="0" w:color="000000"/>
            </w:tcBorders>
            <w:shd w:val="clear" w:color="auto" w:fill="auto"/>
          </w:tcPr>
          <w:p w14:paraId="60A97C0E" w14:textId="77777777" w:rsidR="00AC3066" w:rsidRPr="00E228E8" w:rsidRDefault="00AC3066">
            <w:pPr>
              <w:snapToGrid w:val="0"/>
              <w:ind w:left="57"/>
              <w:contextualSpacing/>
              <w:rPr>
                <w:sz w:val="28"/>
                <w:szCs w:val="28"/>
              </w:rPr>
            </w:pPr>
          </w:p>
        </w:tc>
      </w:tr>
    </w:tbl>
    <w:p w14:paraId="32566E31" w14:textId="77777777" w:rsidR="00AC3066" w:rsidRPr="003019D6" w:rsidRDefault="00AC3066">
      <w:pPr>
        <w:contextualSpacing/>
        <w:rPr>
          <w:vanish/>
        </w:rPr>
      </w:pPr>
    </w:p>
    <w:p w14:paraId="38CE1C7A" w14:textId="77777777" w:rsidR="00AC3066" w:rsidRPr="003019D6" w:rsidRDefault="00AC3066">
      <w:pPr>
        <w:contextualSpacing/>
        <w:rPr>
          <w:vanish/>
        </w:rPr>
      </w:pPr>
    </w:p>
    <w:tbl>
      <w:tblPr>
        <w:tblW w:w="4950" w:type="pct"/>
        <w:tblInd w:w="-37" w:type="dxa"/>
        <w:tblLayout w:type="fixed"/>
        <w:tblCellMar>
          <w:top w:w="30" w:type="dxa"/>
          <w:left w:w="30" w:type="dxa"/>
          <w:bottom w:w="30" w:type="dxa"/>
          <w:right w:w="30" w:type="dxa"/>
        </w:tblCellMar>
        <w:tblLook w:val="0000" w:firstRow="0" w:lastRow="0" w:firstColumn="0" w:lastColumn="0" w:noHBand="0" w:noVBand="0"/>
      </w:tblPr>
      <w:tblGrid>
        <w:gridCol w:w="1787"/>
        <w:gridCol w:w="1026"/>
        <w:gridCol w:w="1026"/>
        <w:gridCol w:w="26"/>
        <w:gridCol w:w="1000"/>
        <w:gridCol w:w="968"/>
        <w:gridCol w:w="58"/>
        <w:gridCol w:w="1026"/>
        <w:gridCol w:w="1026"/>
        <w:gridCol w:w="1027"/>
      </w:tblGrid>
      <w:tr w:rsidR="00AC3066" w:rsidRPr="00ED5C33" w14:paraId="3B561EEE" w14:textId="77777777" w:rsidTr="00F030D0">
        <w:trPr>
          <w:trHeight w:val="555"/>
        </w:trPr>
        <w:tc>
          <w:tcPr>
            <w:tcW w:w="904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6274385" w14:textId="77777777" w:rsidR="00AC3066" w:rsidRPr="00ED5C33" w:rsidRDefault="00DE655A">
            <w:pPr>
              <w:ind w:firstLine="300"/>
              <w:contextualSpacing/>
              <w:jc w:val="center"/>
              <w:rPr>
                <w:b/>
                <w:bCs/>
                <w:sz w:val="28"/>
                <w:szCs w:val="28"/>
              </w:rPr>
            </w:pPr>
            <w:r w:rsidRPr="00ED5C33">
              <w:rPr>
                <w:b/>
                <w:bCs/>
                <w:sz w:val="28"/>
                <w:szCs w:val="28"/>
              </w:rPr>
              <w:t>II. Tiesību akta projekta ietekme uz sabiedrību, tautsaimniecības attīstību un administratīvo slogu</w:t>
            </w:r>
          </w:p>
        </w:tc>
      </w:tr>
      <w:tr w:rsidR="00AC3066" w:rsidRPr="00ED5C33" w14:paraId="3D784D9C" w14:textId="77777777" w:rsidTr="00F030D0">
        <w:trPr>
          <w:trHeight w:val="555"/>
        </w:trPr>
        <w:tc>
          <w:tcPr>
            <w:tcW w:w="904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1ED7397" w14:textId="77777777" w:rsidR="00AC3066" w:rsidRPr="00ED5C33" w:rsidRDefault="00DE655A">
            <w:pPr>
              <w:ind w:firstLine="300"/>
              <w:contextualSpacing/>
              <w:jc w:val="center"/>
              <w:rPr>
                <w:bCs/>
                <w:sz w:val="28"/>
                <w:szCs w:val="28"/>
              </w:rPr>
            </w:pPr>
            <w:r w:rsidRPr="00ED5C33">
              <w:rPr>
                <w:bCs/>
                <w:sz w:val="28"/>
                <w:szCs w:val="28"/>
              </w:rPr>
              <w:t>Projekts šo jomu neskar</w:t>
            </w:r>
          </w:p>
        </w:tc>
      </w:tr>
      <w:tr w:rsidR="00AC3066" w:rsidRPr="00ED5C33" w14:paraId="5D500FFD" w14:textId="77777777" w:rsidTr="00F030D0">
        <w:tc>
          <w:tcPr>
            <w:tcW w:w="9040" w:type="dxa"/>
            <w:gridSpan w:val="10"/>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B4626EC" w14:textId="77777777" w:rsidR="00AC3066" w:rsidRPr="00ED5C33" w:rsidRDefault="00DE655A">
            <w:pPr>
              <w:jc w:val="center"/>
              <w:rPr>
                <w:rFonts w:eastAsia="Calibri"/>
                <w:b/>
                <w:bCs/>
                <w:sz w:val="28"/>
                <w:szCs w:val="28"/>
              </w:rPr>
            </w:pPr>
            <w:r w:rsidRPr="00ED5C33">
              <w:rPr>
                <w:b/>
                <w:bCs/>
                <w:sz w:val="28"/>
                <w:szCs w:val="28"/>
              </w:rPr>
              <w:t>III. Tiesību akta projekta ietekme uz valsts budžetu un pašvaldību budžetiem</w:t>
            </w:r>
          </w:p>
        </w:tc>
      </w:tr>
      <w:tr w:rsidR="00AC3066" w:rsidRPr="00ED5C33" w14:paraId="5E1BF100" w14:textId="77777777" w:rsidTr="00F030D0">
        <w:tc>
          <w:tcPr>
            <w:tcW w:w="1801" w:type="dxa"/>
            <w:vMerge w:val="restart"/>
            <w:tcBorders>
              <w:top w:val="single" w:sz="4" w:space="0" w:color="000000"/>
              <w:left w:val="single" w:sz="4" w:space="0" w:color="000000"/>
              <w:bottom w:val="single" w:sz="4" w:space="0" w:color="000000"/>
            </w:tcBorders>
            <w:shd w:val="clear" w:color="auto" w:fill="auto"/>
            <w:vAlign w:val="center"/>
          </w:tcPr>
          <w:p w14:paraId="63823819" w14:textId="77777777" w:rsidR="00AC3066" w:rsidRPr="00ED5C33" w:rsidRDefault="00DE655A">
            <w:pPr>
              <w:rPr>
                <w:rFonts w:eastAsia="Calibri"/>
                <w:sz w:val="28"/>
                <w:szCs w:val="28"/>
              </w:rPr>
            </w:pPr>
            <w:r w:rsidRPr="00ED5C33">
              <w:rPr>
                <w:sz w:val="28"/>
                <w:szCs w:val="28"/>
              </w:rPr>
              <w:t>Rādītāji</w:t>
            </w:r>
          </w:p>
        </w:tc>
        <w:tc>
          <w:tcPr>
            <w:tcW w:w="2094" w:type="dxa"/>
            <w:gridSpan w:val="3"/>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AEF319" w14:textId="77777777" w:rsidR="00AC3066" w:rsidRPr="00ED5C33" w:rsidRDefault="00DE655A">
            <w:pPr>
              <w:rPr>
                <w:rFonts w:eastAsia="Calibri"/>
                <w:sz w:val="28"/>
                <w:szCs w:val="28"/>
              </w:rPr>
            </w:pPr>
            <w:r w:rsidRPr="00ED5C33">
              <w:rPr>
                <w:sz w:val="28"/>
                <w:szCs w:val="28"/>
              </w:rPr>
              <w:t>2019</w:t>
            </w:r>
          </w:p>
        </w:tc>
        <w:tc>
          <w:tcPr>
            <w:tcW w:w="51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B0BBA7" w14:textId="77777777" w:rsidR="00AC3066" w:rsidRPr="00ED5C33" w:rsidRDefault="00DE655A">
            <w:pPr>
              <w:rPr>
                <w:rFonts w:eastAsia="Calibri"/>
                <w:sz w:val="28"/>
                <w:szCs w:val="28"/>
              </w:rPr>
            </w:pPr>
            <w:r w:rsidRPr="00ED5C33">
              <w:rPr>
                <w:sz w:val="28"/>
                <w:szCs w:val="28"/>
              </w:rPr>
              <w:t>Turpmākie trīs gadi (</w:t>
            </w:r>
            <w:proofErr w:type="spellStart"/>
            <w:r w:rsidRPr="00ED5C33">
              <w:rPr>
                <w:i/>
                <w:iCs/>
                <w:sz w:val="28"/>
                <w:szCs w:val="28"/>
              </w:rPr>
              <w:t>euro</w:t>
            </w:r>
            <w:proofErr w:type="spellEnd"/>
            <w:r w:rsidRPr="00ED5C33">
              <w:rPr>
                <w:sz w:val="28"/>
                <w:szCs w:val="28"/>
              </w:rPr>
              <w:t>)</w:t>
            </w:r>
          </w:p>
        </w:tc>
      </w:tr>
      <w:tr w:rsidR="00AC3066" w:rsidRPr="00ED5C33" w14:paraId="5C4E9733" w14:textId="77777777" w:rsidTr="00F030D0">
        <w:tc>
          <w:tcPr>
            <w:tcW w:w="1801" w:type="dxa"/>
            <w:vMerge/>
            <w:tcBorders>
              <w:top w:val="single" w:sz="4" w:space="0" w:color="000000"/>
              <w:left w:val="single" w:sz="4" w:space="0" w:color="000000"/>
              <w:bottom w:val="single" w:sz="4" w:space="0" w:color="000000"/>
            </w:tcBorders>
            <w:shd w:val="clear" w:color="auto" w:fill="auto"/>
            <w:vAlign w:val="center"/>
          </w:tcPr>
          <w:p w14:paraId="70F9663D" w14:textId="77777777" w:rsidR="00AC3066" w:rsidRPr="00ED5C33" w:rsidRDefault="00AC3066">
            <w:pPr>
              <w:snapToGrid w:val="0"/>
              <w:rPr>
                <w:rFonts w:eastAsia="Calibri"/>
                <w:sz w:val="28"/>
                <w:szCs w:val="28"/>
              </w:rPr>
            </w:pPr>
          </w:p>
        </w:tc>
        <w:tc>
          <w:tcPr>
            <w:tcW w:w="2094" w:type="dxa"/>
            <w:gridSpan w:val="3"/>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AD418D0" w14:textId="77777777" w:rsidR="00AC3066" w:rsidRPr="00ED5C33" w:rsidRDefault="00AC3066">
            <w:pPr>
              <w:snapToGrid w:val="0"/>
              <w:rPr>
                <w:rFonts w:eastAsia="Calibri"/>
                <w:sz w:val="28"/>
                <w:szCs w:val="28"/>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25C8B7B5" w14:textId="77777777" w:rsidR="00AC3066" w:rsidRPr="00ED5C33" w:rsidRDefault="00DE655A">
            <w:pPr>
              <w:rPr>
                <w:rFonts w:eastAsia="Calibri"/>
                <w:sz w:val="28"/>
                <w:szCs w:val="28"/>
              </w:rPr>
            </w:pPr>
            <w:r w:rsidRPr="00ED5C33">
              <w:rPr>
                <w:sz w:val="28"/>
                <w:szCs w:val="28"/>
              </w:rPr>
              <w:t>2020</w:t>
            </w:r>
          </w:p>
        </w:tc>
        <w:tc>
          <w:tcPr>
            <w:tcW w:w="2126"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03C73EC" w14:textId="77777777" w:rsidR="00AC3066" w:rsidRPr="00ED5C33" w:rsidRDefault="00DE655A">
            <w:pPr>
              <w:rPr>
                <w:rFonts w:eastAsia="Calibri"/>
                <w:sz w:val="28"/>
                <w:szCs w:val="28"/>
              </w:rPr>
            </w:pPr>
            <w:r w:rsidRPr="00ED5C33">
              <w:rPr>
                <w:sz w:val="28"/>
                <w:szCs w:val="28"/>
              </w:rPr>
              <w:t>2021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37DE0E" w14:textId="77777777" w:rsidR="00AC3066" w:rsidRPr="00ED5C33" w:rsidRDefault="00DE655A">
            <w:pPr>
              <w:rPr>
                <w:rFonts w:eastAsia="Calibri"/>
                <w:sz w:val="28"/>
                <w:szCs w:val="28"/>
              </w:rPr>
            </w:pPr>
            <w:r w:rsidRPr="00ED5C33">
              <w:rPr>
                <w:sz w:val="28"/>
                <w:szCs w:val="28"/>
              </w:rPr>
              <w:t>2022</w:t>
            </w:r>
          </w:p>
        </w:tc>
      </w:tr>
      <w:tr w:rsidR="00AC3066" w:rsidRPr="00ED5C33" w14:paraId="3B7B5977" w14:textId="77777777" w:rsidTr="00F030D0">
        <w:tc>
          <w:tcPr>
            <w:tcW w:w="1801" w:type="dxa"/>
            <w:vMerge/>
            <w:tcBorders>
              <w:top w:val="single" w:sz="4" w:space="0" w:color="000000"/>
              <w:left w:val="single" w:sz="4" w:space="0" w:color="000000"/>
              <w:bottom w:val="single" w:sz="4" w:space="0" w:color="000000"/>
            </w:tcBorders>
            <w:shd w:val="clear" w:color="auto" w:fill="auto"/>
            <w:vAlign w:val="center"/>
          </w:tcPr>
          <w:p w14:paraId="4E0B70BE" w14:textId="77777777" w:rsidR="00AC3066" w:rsidRPr="00ED5C33" w:rsidRDefault="00AC3066">
            <w:pPr>
              <w:snapToGrid w:val="0"/>
              <w:rPr>
                <w:rFonts w:eastAsia="Calibri"/>
                <w:sz w:val="28"/>
                <w:szCs w:val="28"/>
              </w:rPr>
            </w:pPr>
          </w:p>
        </w:tc>
        <w:tc>
          <w:tcPr>
            <w:tcW w:w="1034" w:type="dxa"/>
            <w:tcBorders>
              <w:top w:val="single" w:sz="4" w:space="0" w:color="000000"/>
              <w:left w:val="single" w:sz="4" w:space="0" w:color="000000"/>
              <w:bottom w:val="single" w:sz="4" w:space="0" w:color="000000"/>
            </w:tcBorders>
            <w:shd w:val="clear" w:color="auto" w:fill="auto"/>
            <w:vAlign w:val="center"/>
          </w:tcPr>
          <w:p w14:paraId="27F11479" w14:textId="77777777" w:rsidR="00AC3066" w:rsidRPr="00ED5C33" w:rsidRDefault="00DE655A">
            <w:pPr>
              <w:rPr>
                <w:rFonts w:eastAsia="Calibri"/>
                <w:sz w:val="28"/>
                <w:szCs w:val="28"/>
              </w:rPr>
            </w:pPr>
            <w:r w:rsidRPr="00ED5C33">
              <w:rPr>
                <w:sz w:val="28"/>
                <w:szCs w:val="28"/>
              </w:rPr>
              <w:t>saskaņā ar valsts budžetu kārtējam gadam</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AB2B90" w14:textId="77777777" w:rsidR="00AC3066" w:rsidRPr="00ED5C33" w:rsidRDefault="00DE655A">
            <w:pPr>
              <w:rPr>
                <w:rFonts w:eastAsia="Calibri"/>
                <w:sz w:val="28"/>
                <w:szCs w:val="28"/>
              </w:rPr>
            </w:pPr>
            <w:r w:rsidRPr="00ED5C33">
              <w:rPr>
                <w:sz w:val="28"/>
                <w:szCs w:val="28"/>
              </w:rPr>
              <w:t>izmaiņas kārtējā gadā, salīdzinot ar valsts budžetu kārtējam gadam</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FB329B3" w14:textId="77777777" w:rsidR="00AC3066" w:rsidRPr="00ED5C33" w:rsidRDefault="00DE655A">
            <w:pPr>
              <w:rPr>
                <w:rFonts w:eastAsia="Calibri"/>
                <w:sz w:val="28"/>
                <w:szCs w:val="28"/>
              </w:rPr>
            </w:pPr>
            <w:r w:rsidRPr="00ED5C33">
              <w:rPr>
                <w:sz w:val="28"/>
                <w:szCs w:val="28"/>
              </w:rPr>
              <w:t>saskaņā ar vidēja termiņa budžeta ietvaru</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7539192" w14:textId="77777777" w:rsidR="00AC3066" w:rsidRPr="00ED5C33" w:rsidRDefault="00DE655A">
            <w:pPr>
              <w:rPr>
                <w:rFonts w:eastAsia="Calibri"/>
                <w:sz w:val="28"/>
                <w:szCs w:val="28"/>
              </w:rPr>
            </w:pPr>
            <w:r w:rsidRPr="00ED5C33">
              <w:rPr>
                <w:sz w:val="28"/>
                <w:szCs w:val="28"/>
              </w:rPr>
              <w:t>izmaiņas, salīdzinot ar vidēja termiņa budžeta ietvaru n+1 gadam</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C0443D6" w14:textId="77777777" w:rsidR="00AC3066" w:rsidRPr="00ED5C33" w:rsidRDefault="00DE655A">
            <w:pPr>
              <w:rPr>
                <w:rFonts w:eastAsia="Calibri"/>
                <w:sz w:val="28"/>
                <w:szCs w:val="28"/>
              </w:rPr>
            </w:pPr>
            <w:r w:rsidRPr="00ED5C33">
              <w:rPr>
                <w:sz w:val="28"/>
                <w:szCs w:val="28"/>
              </w:rPr>
              <w:t>saskaņā ar vidēja termiņa budžeta ietvaru</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AAB529D" w14:textId="77777777" w:rsidR="00AC3066" w:rsidRPr="00ED5C33" w:rsidRDefault="00DE655A">
            <w:pPr>
              <w:rPr>
                <w:rFonts w:eastAsia="Calibri"/>
                <w:sz w:val="28"/>
                <w:szCs w:val="28"/>
              </w:rPr>
            </w:pPr>
            <w:r w:rsidRPr="00ED5C33">
              <w:rPr>
                <w:sz w:val="28"/>
                <w:szCs w:val="28"/>
              </w:rPr>
              <w:t>izmaiņas, salīdzinot ar vidēja termiņa budžeta ietvaru n+2 gadam</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8D441F" w14:textId="77777777" w:rsidR="00AC3066" w:rsidRPr="00ED5C33" w:rsidRDefault="00DE655A">
            <w:pPr>
              <w:rPr>
                <w:rFonts w:eastAsia="Calibri"/>
                <w:sz w:val="28"/>
                <w:szCs w:val="28"/>
              </w:rPr>
            </w:pPr>
            <w:r w:rsidRPr="00ED5C33">
              <w:rPr>
                <w:sz w:val="28"/>
                <w:szCs w:val="28"/>
              </w:rPr>
              <w:t>izmaiņas, salīdzinot ar vidēja termiņa budžeta ietvaru n+2 gadam</w:t>
            </w:r>
          </w:p>
        </w:tc>
      </w:tr>
      <w:tr w:rsidR="00AC3066" w:rsidRPr="00ED5C33" w14:paraId="7F319193" w14:textId="77777777" w:rsidTr="00F030D0">
        <w:tc>
          <w:tcPr>
            <w:tcW w:w="1801" w:type="dxa"/>
            <w:tcBorders>
              <w:top w:val="single" w:sz="4" w:space="0" w:color="000000"/>
              <w:left w:val="single" w:sz="4" w:space="0" w:color="000000"/>
              <w:bottom w:val="single" w:sz="4" w:space="0" w:color="000000"/>
            </w:tcBorders>
            <w:shd w:val="clear" w:color="auto" w:fill="auto"/>
            <w:vAlign w:val="center"/>
          </w:tcPr>
          <w:p w14:paraId="0623FBFB" w14:textId="77777777" w:rsidR="00AC3066" w:rsidRPr="00ED5C33" w:rsidRDefault="00DE655A">
            <w:pPr>
              <w:rPr>
                <w:rFonts w:eastAsia="Calibri"/>
                <w:sz w:val="28"/>
                <w:szCs w:val="28"/>
              </w:rPr>
            </w:pPr>
            <w:r w:rsidRPr="00ED5C33">
              <w:rPr>
                <w:sz w:val="28"/>
                <w:szCs w:val="28"/>
              </w:rPr>
              <w:t>1</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86862E" w14:textId="77777777" w:rsidR="00AC3066" w:rsidRPr="00ED5C33" w:rsidRDefault="00DE655A" w:rsidP="003743C1">
            <w:pPr>
              <w:jc w:val="right"/>
              <w:rPr>
                <w:rFonts w:eastAsia="Calibri"/>
                <w:sz w:val="28"/>
                <w:szCs w:val="28"/>
              </w:rPr>
            </w:pPr>
            <w:r w:rsidRPr="00ED5C33">
              <w:rPr>
                <w:sz w:val="28"/>
                <w:szCs w:val="28"/>
              </w:rPr>
              <w:t>2</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CD65CD1" w14:textId="77777777" w:rsidR="00AC3066" w:rsidRPr="00ED5C33" w:rsidRDefault="00DE655A" w:rsidP="003743C1">
            <w:pPr>
              <w:jc w:val="right"/>
              <w:rPr>
                <w:rFonts w:eastAsia="Calibri"/>
                <w:sz w:val="28"/>
                <w:szCs w:val="28"/>
              </w:rPr>
            </w:pPr>
            <w:r w:rsidRPr="00ED5C33">
              <w:rPr>
                <w:sz w:val="28"/>
                <w:szCs w:val="28"/>
              </w:rPr>
              <w:t>3</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B38A0D" w14:textId="77777777" w:rsidR="00AC3066" w:rsidRPr="00ED5C33" w:rsidRDefault="00DE655A" w:rsidP="003743C1">
            <w:pPr>
              <w:jc w:val="right"/>
              <w:rPr>
                <w:rFonts w:eastAsia="Calibri"/>
                <w:sz w:val="28"/>
                <w:szCs w:val="28"/>
              </w:rPr>
            </w:pPr>
            <w:r w:rsidRPr="00ED5C33">
              <w:rPr>
                <w:sz w:val="28"/>
                <w:szCs w:val="28"/>
              </w:rPr>
              <w:t>4</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C4038B" w14:textId="77777777" w:rsidR="00AC3066" w:rsidRPr="00ED5C33" w:rsidRDefault="00DE655A" w:rsidP="003743C1">
            <w:pPr>
              <w:jc w:val="right"/>
              <w:rPr>
                <w:rFonts w:eastAsia="Calibri"/>
                <w:sz w:val="28"/>
                <w:szCs w:val="28"/>
              </w:rPr>
            </w:pPr>
            <w:r w:rsidRPr="00ED5C33">
              <w:rPr>
                <w:sz w:val="28"/>
                <w:szCs w:val="28"/>
              </w:rPr>
              <w:t>5</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C8B7C6" w14:textId="77777777" w:rsidR="00AC3066" w:rsidRPr="00ED5C33" w:rsidRDefault="00DE655A" w:rsidP="003743C1">
            <w:pPr>
              <w:jc w:val="right"/>
              <w:rPr>
                <w:rFonts w:eastAsia="Calibri"/>
                <w:sz w:val="28"/>
                <w:szCs w:val="28"/>
              </w:rPr>
            </w:pPr>
            <w:r w:rsidRPr="00ED5C33">
              <w:rPr>
                <w:sz w:val="28"/>
                <w:szCs w:val="28"/>
              </w:rPr>
              <w:t>6</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13EFD53" w14:textId="77777777" w:rsidR="00AC3066" w:rsidRPr="00ED5C33" w:rsidRDefault="00DE655A" w:rsidP="003743C1">
            <w:pPr>
              <w:jc w:val="right"/>
              <w:rPr>
                <w:rFonts w:eastAsia="Calibri"/>
                <w:sz w:val="28"/>
                <w:szCs w:val="28"/>
              </w:rPr>
            </w:pPr>
            <w:r w:rsidRPr="00ED5C33">
              <w:rPr>
                <w:sz w:val="28"/>
                <w:szCs w:val="28"/>
              </w:rPr>
              <w:t>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891D30" w14:textId="77777777" w:rsidR="00AC3066" w:rsidRPr="00ED5C33" w:rsidRDefault="00DE655A" w:rsidP="003743C1">
            <w:pPr>
              <w:jc w:val="right"/>
              <w:rPr>
                <w:rFonts w:eastAsia="Calibri"/>
                <w:sz w:val="28"/>
                <w:szCs w:val="28"/>
              </w:rPr>
            </w:pPr>
            <w:r w:rsidRPr="00ED5C33">
              <w:rPr>
                <w:sz w:val="28"/>
                <w:szCs w:val="28"/>
              </w:rPr>
              <w:t>8</w:t>
            </w:r>
          </w:p>
        </w:tc>
      </w:tr>
      <w:tr w:rsidR="00AC3066" w:rsidRPr="00ED5C33" w14:paraId="27E17C14" w14:textId="77777777" w:rsidTr="00F030D0">
        <w:tc>
          <w:tcPr>
            <w:tcW w:w="1801" w:type="dxa"/>
            <w:tcBorders>
              <w:top w:val="single" w:sz="4" w:space="0" w:color="000000"/>
              <w:left w:val="single" w:sz="4" w:space="0" w:color="000000"/>
              <w:bottom w:val="single" w:sz="4" w:space="0" w:color="000000"/>
            </w:tcBorders>
            <w:shd w:val="clear" w:color="auto" w:fill="auto"/>
          </w:tcPr>
          <w:p w14:paraId="2BAABE1F" w14:textId="77777777" w:rsidR="00AC3066" w:rsidRPr="00ED5C33" w:rsidRDefault="00DE655A">
            <w:pPr>
              <w:rPr>
                <w:rFonts w:eastAsia="Calibri"/>
                <w:sz w:val="28"/>
                <w:szCs w:val="28"/>
              </w:rPr>
            </w:pPr>
            <w:r w:rsidRPr="00ED5C33">
              <w:rPr>
                <w:sz w:val="28"/>
                <w:szCs w:val="28"/>
              </w:rPr>
              <w:t>1. Budžeta ieņēmumi</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04C7FB5" w14:textId="77777777" w:rsidR="00AC3066" w:rsidRPr="00ED5C33" w:rsidRDefault="00DE655A" w:rsidP="003743C1">
            <w:pPr>
              <w:jc w:val="right"/>
              <w:rPr>
                <w:rFonts w:eastAsia="Calibri"/>
                <w:sz w:val="28"/>
                <w:szCs w:val="28"/>
              </w:rPr>
            </w:pPr>
            <w:r w:rsidRPr="00ED5C33">
              <w:rPr>
                <w:sz w:val="28"/>
                <w:szCs w:val="28"/>
              </w:rPr>
              <w:t> 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CC116E" w14:textId="77777777" w:rsidR="00AC3066" w:rsidRPr="00ED5C33" w:rsidRDefault="00DE655A" w:rsidP="003743C1">
            <w:pPr>
              <w:jc w:val="right"/>
              <w:rPr>
                <w:rFonts w:eastAsia="Calibri"/>
                <w:sz w:val="28"/>
                <w:szCs w:val="28"/>
              </w:rPr>
            </w:pPr>
            <w:r w:rsidRPr="00ED5C33">
              <w:rPr>
                <w:sz w:val="28"/>
                <w:szCs w:val="28"/>
              </w:rPr>
              <w:t> 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C57829" w14:textId="77777777" w:rsidR="00AC3066" w:rsidRPr="00ED5C33" w:rsidRDefault="00DE655A" w:rsidP="003743C1">
            <w:pPr>
              <w:jc w:val="right"/>
              <w:rPr>
                <w:rFonts w:eastAsia="Calibri"/>
                <w:sz w:val="28"/>
                <w:szCs w:val="28"/>
              </w:rPr>
            </w:pPr>
            <w:r w:rsidRPr="00ED5C33">
              <w:rPr>
                <w:sz w:val="28"/>
                <w:szCs w:val="28"/>
              </w:rPr>
              <w:t> 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9F9683" w14:textId="77777777" w:rsidR="00AC3066" w:rsidRPr="00ED5C33" w:rsidRDefault="00DE655A" w:rsidP="003743C1">
            <w:pPr>
              <w:jc w:val="right"/>
              <w:rPr>
                <w:rFonts w:eastAsia="Calibri"/>
                <w:sz w:val="28"/>
                <w:szCs w:val="28"/>
              </w:rPr>
            </w:pPr>
            <w:r w:rsidRPr="00ED5C33">
              <w:rPr>
                <w:sz w:val="28"/>
                <w:szCs w:val="28"/>
              </w:rPr>
              <w:t> 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5DDC5B" w14:textId="77777777" w:rsidR="00AC3066" w:rsidRPr="00ED5C33" w:rsidRDefault="00DE655A" w:rsidP="003743C1">
            <w:pPr>
              <w:jc w:val="right"/>
              <w:rPr>
                <w:rFonts w:eastAsia="Calibri"/>
                <w:sz w:val="28"/>
                <w:szCs w:val="28"/>
              </w:rPr>
            </w:pPr>
            <w:r w:rsidRPr="00ED5C33">
              <w:rPr>
                <w:sz w:val="28"/>
                <w:szCs w:val="28"/>
              </w:rPr>
              <w:t> 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ADB74D0" w14:textId="77777777" w:rsidR="00AC3066" w:rsidRPr="00ED5C33" w:rsidRDefault="00DE655A" w:rsidP="003743C1">
            <w:pPr>
              <w:jc w:val="right"/>
              <w:rPr>
                <w:rFonts w:eastAsia="Calibri"/>
                <w:sz w:val="28"/>
                <w:szCs w:val="28"/>
              </w:rPr>
            </w:pPr>
            <w:r w:rsidRPr="00ED5C33">
              <w:rPr>
                <w:sz w:val="28"/>
                <w:szCs w:val="28"/>
              </w:rPr>
              <w:t> 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1D1CA9" w14:textId="77777777" w:rsidR="00AC3066" w:rsidRPr="00ED5C33" w:rsidRDefault="00DE655A" w:rsidP="003743C1">
            <w:pPr>
              <w:jc w:val="right"/>
              <w:rPr>
                <w:rFonts w:eastAsia="Calibri"/>
                <w:sz w:val="28"/>
                <w:szCs w:val="28"/>
              </w:rPr>
            </w:pPr>
            <w:r w:rsidRPr="00ED5C33">
              <w:rPr>
                <w:sz w:val="28"/>
                <w:szCs w:val="28"/>
              </w:rPr>
              <w:t> 0</w:t>
            </w:r>
          </w:p>
        </w:tc>
      </w:tr>
      <w:tr w:rsidR="00AC3066" w:rsidRPr="00ED5C33" w14:paraId="34F4F00A" w14:textId="77777777" w:rsidTr="00F030D0">
        <w:tc>
          <w:tcPr>
            <w:tcW w:w="1801" w:type="dxa"/>
            <w:tcBorders>
              <w:top w:val="single" w:sz="4" w:space="0" w:color="000000"/>
              <w:left w:val="single" w:sz="4" w:space="0" w:color="000000"/>
              <w:bottom w:val="single" w:sz="4" w:space="0" w:color="000000"/>
            </w:tcBorders>
            <w:shd w:val="clear" w:color="auto" w:fill="auto"/>
          </w:tcPr>
          <w:p w14:paraId="1061C856" w14:textId="77777777" w:rsidR="00AC3066" w:rsidRPr="00ED5C33" w:rsidRDefault="00DE655A">
            <w:pPr>
              <w:rPr>
                <w:rFonts w:eastAsia="Calibri"/>
                <w:sz w:val="28"/>
                <w:szCs w:val="28"/>
              </w:rPr>
            </w:pPr>
            <w:r w:rsidRPr="00ED5C33">
              <w:rPr>
                <w:sz w:val="28"/>
                <w:szCs w:val="28"/>
              </w:rPr>
              <w:t>1.1. valsts pamatbudžets, tai skaitā ieņēmumi no maksas pakalpojumiem un citi pašu ieņēmumi</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24F4025" w14:textId="1195A0EC" w:rsidR="00AC3066" w:rsidRPr="00ED5C33" w:rsidRDefault="00DE655A" w:rsidP="003743C1">
            <w:pPr>
              <w:jc w:val="right"/>
              <w:rPr>
                <w:rFonts w:eastAsia="Calibri"/>
                <w:sz w:val="28"/>
                <w:szCs w:val="28"/>
              </w:rPr>
            </w:pPr>
            <w:r w:rsidRPr="00ED5C33">
              <w:rPr>
                <w:sz w:val="28"/>
                <w:szCs w:val="28"/>
              </w:rPr>
              <w:t> </w:t>
            </w:r>
            <w:r w:rsidR="00DF4CA9">
              <w:rPr>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55C8810" w14:textId="344B2AFE" w:rsidR="00AC3066" w:rsidRPr="00ED5C33" w:rsidRDefault="00DF4CA9" w:rsidP="003743C1">
            <w:pPr>
              <w:jc w:val="right"/>
              <w:rPr>
                <w:rFonts w:eastAsia="Calibri"/>
                <w:sz w:val="28"/>
                <w:szCs w:val="28"/>
              </w:rPr>
            </w:pPr>
            <w:r>
              <w:rPr>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9DC7F44" w14:textId="42BD2106" w:rsidR="00AC3066" w:rsidRPr="00ED5C33" w:rsidRDefault="00DF4CA9"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B0B290C" w14:textId="6CA8B958" w:rsidR="00AC3066" w:rsidRPr="00ED5C33" w:rsidRDefault="00DF4CA9"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3286ED" w14:textId="1FDB60D4" w:rsidR="00AC3066" w:rsidRPr="00ED5C33" w:rsidRDefault="00DF4CA9"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6F1C92" w14:textId="3E1E623C" w:rsidR="00AC3066" w:rsidRPr="00ED5C33" w:rsidRDefault="00DF4CA9"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A7EB26" w14:textId="2EAB5AA2" w:rsidR="00AC3066" w:rsidRPr="00ED5C33" w:rsidRDefault="00DF4CA9" w:rsidP="003743C1">
            <w:pPr>
              <w:jc w:val="right"/>
              <w:rPr>
                <w:rFonts w:eastAsia="Calibri"/>
                <w:sz w:val="28"/>
                <w:szCs w:val="28"/>
              </w:rPr>
            </w:pPr>
            <w:r>
              <w:rPr>
                <w:rFonts w:eastAsia="Calibri"/>
                <w:sz w:val="28"/>
                <w:szCs w:val="28"/>
              </w:rPr>
              <w:t>0</w:t>
            </w:r>
          </w:p>
        </w:tc>
      </w:tr>
      <w:tr w:rsidR="00AC3066" w:rsidRPr="00ED5C33" w14:paraId="46F5CB5D" w14:textId="77777777" w:rsidTr="00F030D0">
        <w:tc>
          <w:tcPr>
            <w:tcW w:w="1801" w:type="dxa"/>
            <w:tcBorders>
              <w:top w:val="single" w:sz="4" w:space="0" w:color="000000"/>
              <w:left w:val="single" w:sz="4" w:space="0" w:color="000000"/>
              <w:bottom w:val="single" w:sz="4" w:space="0" w:color="000000"/>
            </w:tcBorders>
            <w:shd w:val="clear" w:color="auto" w:fill="auto"/>
          </w:tcPr>
          <w:p w14:paraId="33A9844E" w14:textId="77777777" w:rsidR="00AC3066" w:rsidRPr="00ED5C33" w:rsidRDefault="00DE655A">
            <w:pPr>
              <w:rPr>
                <w:rFonts w:eastAsia="Calibri"/>
                <w:sz w:val="28"/>
                <w:szCs w:val="28"/>
              </w:rPr>
            </w:pPr>
            <w:r w:rsidRPr="00ED5C33">
              <w:rPr>
                <w:sz w:val="28"/>
                <w:szCs w:val="28"/>
              </w:rPr>
              <w:t>1.2. valsts speciālais 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945618E" w14:textId="09229DB0" w:rsidR="00AC3066" w:rsidRPr="00ED5C33" w:rsidRDefault="00DE655A" w:rsidP="003743C1">
            <w:pPr>
              <w:jc w:val="right"/>
              <w:rPr>
                <w:rFonts w:eastAsia="Calibri"/>
                <w:sz w:val="28"/>
                <w:szCs w:val="28"/>
              </w:rPr>
            </w:pPr>
            <w:r w:rsidRPr="00ED5C33">
              <w:rPr>
                <w:sz w:val="28"/>
                <w:szCs w:val="28"/>
              </w:rPr>
              <w:t> </w:t>
            </w:r>
            <w:r w:rsidR="00F030D0">
              <w:rPr>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BC476C" w14:textId="614AC226"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CD4F9" w14:textId="2021E3A0"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532D05" w14:textId="3AFDC2B1"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7F30D7B" w14:textId="6972D48A"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58FA7B" w14:textId="4FEFDE74" w:rsidR="00AC3066" w:rsidRPr="00ED5C33" w:rsidRDefault="00F030D0"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8E0F82" w14:textId="269F72A8" w:rsidR="00AC3066" w:rsidRPr="00ED5C33" w:rsidRDefault="00F030D0" w:rsidP="003743C1">
            <w:pPr>
              <w:jc w:val="right"/>
              <w:rPr>
                <w:rFonts w:eastAsia="Calibri"/>
                <w:sz w:val="28"/>
                <w:szCs w:val="28"/>
              </w:rPr>
            </w:pPr>
            <w:r>
              <w:rPr>
                <w:rFonts w:eastAsia="Calibri"/>
                <w:sz w:val="28"/>
                <w:szCs w:val="28"/>
              </w:rPr>
              <w:t>0</w:t>
            </w:r>
          </w:p>
        </w:tc>
      </w:tr>
      <w:tr w:rsidR="00AC3066" w:rsidRPr="00ED5C33" w14:paraId="546968D3" w14:textId="77777777" w:rsidTr="00F030D0">
        <w:tc>
          <w:tcPr>
            <w:tcW w:w="1801" w:type="dxa"/>
            <w:tcBorders>
              <w:top w:val="single" w:sz="4" w:space="0" w:color="000000"/>
              <w:left w:val="single" w:sz="4" w:space="0" w:color="000000"/>
              <w:bottom w:val="single" w:sz="4" w:space="0" w:color="000000"/>
            </w:tcBorders>
            <w:shd w:val="clear" w:color="auto" w:fill="auto"/>
          </w:tcPr>
          <w:p w14:paraId="5E878028" w14:textId="77777777" w:rsidR="00AC3066" w:rsidRPr="00ED5C33" w:rsidRDefault="00DE655A">
            <w:pPr>
              <w:rPr>
                <w:rFonts w:eastAsia="Calibri"/>
                <w:sz w:val="28"/>
                <w:szCs w:val="28"/>
              </w:rPr>
            </w:pPr>
            <w:r w:rsidRPr="00ED5C33">
              <w:rPr>
                <w:sz w:val="28"/>
                <w:szCs w:val="28"/>
              </w:rPr>
              <w:lastRenderedPageBreak/>
              <w:t>1.3. pašvaldību 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C626A" w14:textId="1B4D8935" w:rsidR="00AC3066" w:rsidRPr="00ED5C33" w:rsidRDefault="00DE655A" w:rsidP="003743C1">
            <w:pPr>
              <w:jc w:val="right"/>
              <w:rPr>
                <w:rFonts w:eastAsia="Calibri"/>
                <w:sz w:val="28"/>
                <w:szCs w:val="28"/>
              </w:rPr>
            </w:pPr>
            <w:r w:rsidRPr="00ED5C33">
              <w:rPr>
                <w:sz w:val="28"/>
                <w:szCs w:val="28"/>
              </w:rPr>
              <w:t> </w:t>
            </w:r>
            <w:r w:rsidR="00F030D0">
              <w:rPr>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06834DC" w14:textId="63817DE8"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8C07FD0" w14:textId="11BB7932"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BF428A1" w14:textId="05E98471"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0C77716" w14:textId="2BFE0ACE"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307596" w14:textId="15045158" w:rsidR="00AC3066" w:rsidRPr="00ED5C33" w:rsidRDefault="00F030D0" w:rsidP="003743C1">
            <w:pPr>
              <w:jc w:val="right"/>
              <w:rPr>
                <w:rFonts w:eastAsia="Calibri"/>
                <w:sz w:val="28"/>
                <w:szCs w:val="28"/>
              </w:rPr>
            </w:pPr>
            <w:r>
              <w:rPr>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1BD93A" w14:textId="07DA938C" w:rsidR="00AC3066" w:rsidRPr="00ED5C33" w:rsidRDefault="00F030D0" w:rsidP="003743C1">
            <w:pPr>
              <w:jc w:val="right"/>
              <w:rPr>
                <w:rFonts w:eastAsia="Calibri"/>
                <w:sz w:val="28"/>
                <w:szCs w:val="28"/>
              </w:rPr>
            </w:pPr>
            <w:r>
              <w:rPr>
                <w:rFonts w:eastAsia="Calibri"/>
                <w:sz w:val="28"/>
                <w:szCs w:val="28"/>
              </w:rPr>
              <w:t>0</w:t>
            </w:r>
          </w:p>
        </w:tc>
      </w:tr>
      <w:tr w:rsidR="00AC3066" w:rsidRPr="00ED5C33" w14:paraId="3756DA13" w14:textId="77777777" w:rsidTr="00F030D0">
        <w:tc>
          <w:tcPr>
            <w:tcW w:w="1801" w:type="dxa"/>
            <w:tcBorders>
              <w:top w:val="single" w:sz="4" w:space="0" w:color="000000"/>
              <w:left w:val="single" w:sz="4" w:space="0" w:color="000000"/>
              <w:bottom w:val="single" w:sz="4" w:space="0" w:color="000000"/>
            </w:tcBorders>
            <w:shd w:val="clear" w:color="auto" w:fill="auto"/>
          </w:tcPr>
          <w:p w14:paraId="6AE75013" w14:textId="77777777" w:rsidR="00AC3066" w:rsidRPr="00ED5C33" w:rsidRDefault="00DE655A">
            <w:pPr>
              <w:rPr>
                <w:rFonts w:eastAsia="Calibri"/>
                <w:sz w:val="28"/>
                <w:szCs w:val="28"/>
              </w:rPr>
            </w:pPr>
            <w:r w:rsidRPr="00ED5C33">
              <w:rPr>
                <w:sz w:val="28"/>
                <w:szCs w:val="28"/>
              </w:rPr>
              <w:t>2. Budžeta izdevumi</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6F7D88C" w14:textId="5CB833CA" w:rsidR="00AC3066" w:rsidRPr="00ED5C33" w:rsidRDefault="00DF4CA9"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3B3F36" w14:textId="21A7A7F3" w:rsidR="00AC3066" w:rsidRPr="00ED5C33" w:rsidRDefault="00DF4CA9"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F4D7FA" w14:textId="2D794877" w:rsidR="00AC3066" w:rsidRPr="00ED5C33" w:rsidRDefault="00AC3066" w:rsidP="003743C1">
            <w:pPr>
              <w:jc w:val="right"/>
              <w:rPr>
                <w:rFonts w:eastAsia="Calibri"/>
                <w:sz w:val="28"/>
                <w:szCs w:val="28"/>
              </w:rPr>
            </w:pP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00E7819" w14:textId="31531E72" w:rsidR="00AC3066" w:rsidRPr="00ED5C33" w:rsidRDefault="00245D6B" w:rsidP="003743C1">
            <w:pPr>
              <w:jc w:val="right"/>
              <w:rPr>
                <w:rFonts w:eastAsia="Calibri"/>
                <w:sz w:val="28"/>
                <w:szCs w:val="28"/>
              </w:rPr>
            </w:pPr>
            <w:r>
              <w:rPr>
                <w:rFonts w:eastAsia="Calibri"/>
                <w:sz w:val="28"/>
                <w:szCs w:val="28"/>
              </w:rPr>
              <w:t>424560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222E99" w14:textId="675B1D20" w:rsidR="00AC3066" w:rsidRPr="00ED5C33" w:rsidRDefault="00AC3066" w:rsidP="003743C1">
            <w:pPr>
              <w:jc w:val="right"/>
              <w:rPr>
                <w:rFonts w:eastAsia="Calibri"/>
                <w:sz w:val="28"/>
                <w:szCs w:val="28"/>
              </w:rPr>
            </w:pP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862836A" w14:textId="46E24B24" w:rsidR="00AC3066" w:rsidRPr="00ED5C33" w:rsidRDefault="00245D6B" w:rsidP="003743C1">
            <w:pPr>
              <w:jc w:val="right"/>
              <w:rPr>
                <w:rFonts w:eastAsia="Calibri"/>
                <w:sz w:val="28"/>
                <w:szCs w:val="28"/>
              </w:rPr>
            </w:pPr>
            <w:r>
              <w:rPr>
                <w:rFonts w:eastAsia="Calibri"/>
                <w:sz w:val="28"/>
                <w:szCs w:val="28"/>
              </w:rPr>
              <w:t>364560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85F8F" w14:textId="2B37A409" w:rsidR="00AC3066" w:rsidRPr="00ED5C33" w:rsidRDefault="00B463E9" w:rsidP="003743C1">
            <w:pPr>
              <w:jc w:val="right"/>
              <w:rPr>
                <w:rFonts w:eastAsia="Calibri"/>
                <w:sz w:val="28"/>
                <w:szCs w:val="28"/>
              </w:rPr>
            </w:pPr>
            <w:r w:rsidRPr="00ED5C33">
              <w:rPr>
                <w:rFonts w:eastAsia="Calibri"/>
                <w:sz w:val="28"/>
                <w:szCs w:val="28"/>
              </w:rPr>
              <w:t>324 560</w:t>
            </w:r>
          </w:p>
        </w:tc>
      </w:tr>
      <w:tr w:rsidR="00AC3066" w:rsidRPr="00ED5C33" w14:paraId="77FF62FE" w14:textId="77777777" w:rsidTr="00F030D0">
        <w:tc>
          <w:tcPr>
            <w:tcW w:w="1801" w:type="dxa"/>
            <w:tcBorders>
              <w:top w:val="single" w:sz="4" w:space="0" w:color="000000"/>
              <w:left w:val="single" w:sz="4" w:space="0" w:color="000000"/>
              <w:bottom w:val="single" w:sz="4" w:space="0" w:color="000000"/>
            </w:tcBorders>
            <w:shd w:val="clear" w:color="auto" w:fill="auto"/>
          </w:tcPr>
          <w:p w14:paraId="19F8DEC0" w14:textId="77777777" w:rsidR="00AC3066" w:rsidRPr="00ED5C33" w:rsidRDefault="00DE655A">
            <w:pPr>
              <w:rPr>
                <w:rFonts w:eastAsia="Calibri"/>
                <w:sz w:val="28"/>
                <w:szCs w:val="28"/>
              </w:rPr>
            </w:pPr>
            <w:r w:rsidRPr="00ED5C33">
              <w:rPr>
                <w:sz w:val="28"/>
                <w:szCs w:val="28"/>
              </w:rPr>
              <w:t>2.1. valsts pamatbudžets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86290A" w14:textId="632CED94" w:rsidR="00AC3066" w:rsidRPr="00ED5C33" w:rsidRDefault="00DE655A" w:rsidP="003743C1">
            <w:pPr>
              <w:jc w:val="right"/>
              <w:rPr>
                <w:rFonts w:eastAsia="Calibri"/>
                <w:sz w:val="28"/>
                <w:szCs w:val="28"/>
              </w:rPr>
            </w:pPr>
            <w:r w:rsidRPr="00ED5C33">
              <w:rPr>
                <w:sz w:val="28"/>
                <w:szCs w:val="28"/>
              </w:rPr>
              <w:t> </w:t>
            </w:r>
            <w:r w:rsidR="00F030D0">
              <w:rPr>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4E154CC" w14:textId="61AB9590" w:rsidR="00AC3066" w:rsidRPr="00ED5C33" w:rsidRDefault="00F030D0" w:rsidP="003743C1">
            <w:pPr>
              <w:jc w:val="right"/>
              <w:rPr>
                <w:rFonts w:eastAsia="Calibri"/>
                <w:sz w:val="28"/>
                <w:szCs w:val="28"/>
              </w:rPr>
            </w:pPr>
            <w:r>
              <w:rPr>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37F132A" w14:textId="20DDD007" w:rsidR="00AC3066" w:rsidRPr="00ED5C33" w:rsidRDefault="00AC3066" w:rsidP="003743C1">
            <w:pPr>
              <w:jc w:val="right"/>
              <w:rPr>
                <w:rFonts w:eastAsia="Calibri"/>
                <w:sz w:val="28"/>
                <w:szCs w:val="28"/>
              </w:rPr>
            </w:pP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0F122B" w14:textId="0E95A8EE" w:rsidR="00AC3066" w:rsidRPr="00ED5C33" w:rsidRDefault="00DE655A" w:rsidP="003743C1">
            <w:pPr>
              <w:jc w:val="right"/>
              <w:rPr>
                <w:rFonts w:eastAsia="Calibri"/>
                <w:sz w:val="28"/>
                <w:szCs w:val="28"/>
              </w:rPr>
            </w:pPr>
            <w:r w:rsidRPr="00ED5C33">
              <w:rPr>
                <w:sz w:val="28"/>
                <w:szCs w:val="28"/>
              </w:rPr>
              <w:t> </w:t>
            </w:r>
            <w:r w:rsidR="00245D6B">
              <w:rPr>
                <w:sz w:val="28"/>
                <w:szCs w:val="28"/>
              </w:rPr>
              <w:t>424560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638C248" w14:textId="78826B5D" w:rsidR="00AC3066" w:rsidRPr="00ED5C33" w:rsidRDefault="00AC3066" w:rsidP="003743C1">
            <w:pPr>
              <w:jc w:val="right"/>
              <w:rPr>
                <w:rFonts w:eastAsia="Calibri"/>
                <w:sz w:val="28"/>
                <w:szCs w:val="28"/>
              </w:rPr>
            </w:pP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A8202A6" w14:textId="6350ED27" w:rsidR="00AC3066" w:rsidRPr="00ED5C33" w:rsidRDefault="00554DDD" w:rsidP="003743C1">
            <w:pPr>
              <w:jc w:val="right"/>
              <w:rPr>
                <w:rFonts w:eastAsia="Calibri"/>
                <w:sz w:val="28"/>
                <w:szCs w:val="28"/>
              </w:rPr>
            </w:pPr>
            <w:r>
              <w:rPr>
                <w:rFonts w:eastAsia="Calibri"/>
                <w:sz w:val="28"/>
                <w:szCs w:val="28"/>
              </w:rPr>
              <w:t>364560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AC6084" w14:textId="109CBAF9" w:rsidR="00AC3066" w:rsidRPr="00ED5C33" w:rsidRDefault="00B463E9" w:rsidP="003743C1">
            <w:pPr>
              <w:jc w:val="right"/>
              <w:rPr>
                <w:rFonts w:eastAsia="Calibri"/>
                <w:sz w:val="28"/>
                <w:szCs w:val="28"/>
              </w:rPr>
            </w:pPr>
            <w:r w:rsidRPr="00ED5C33">
              <w:rPr>
                <w:rFonts w:eastAsia="Calibri"/>
                <w:sz w:val="28"/>
                <w:szCs w:val="28"/>
              </w:rPr>
              <w:t>324 560</w:t>
            </w:r>
          </w:p>
        </w:tc>
      </w:tr>
      <w:tr w:rsidR="00AC3066" w:rsidRPr="00ED5C33" w14:paraId="6A88DF60" w14:textId="77777777" w:rsidTr="00F030D0">
        <w:tc>
          <w:tcPr>
            <w:tcW w:w="1801" w:type="dxa"/>
            <w:tcBorders>
              <w:top w:val="single" w:sz="4" w:space="0" w:color="000000"/>
              <w:left w:val="single" w:sz="4" w:space="0" w:color="000000"/>
              <w:bottom w:val="single" w:sz="4" w:space="0" w:color="000000"/>
            </w:tcBorders>
            <w:shd w:val="clear" w:color="auto" w:fill="auto"/>
          </w:tcPr>
          <w:p w14:paraId="1B85AF93" w14:textId="77777777" w:rsidR="00AC3066" w:rsidRPr="00ED5C33" w:rsidRDefault="00DE655A">
            <w:pPr>
              <w:rPr>
                <w:rFonts w:eastAsia="Calibri"/>
                <w:sz w:val="28"/>
                <w:szCs w:val="28"/>
              </w:rPr>
            </w:pPr>
            <w:r w:rsidRPr="00ED5C33">
              <w:rPr>
                <w:sz w:val="28"/>
                <w:szCs w:val="28"/>
              </w:rPr>
              <w:t>2.2. valsts speciālais 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2AD5345" w14:textId="36A0451D" w:rsidR="00AC3066" w:rsidRPr="00ED5C33" w:rsidRDefault="00DE655A" w:rsidP="003743C1">
            <w:pPr>
              <w:jc w:val="right"/>
              <w:rPr>
                <w:rFonts w:eastAsia="Calibri"/>
                <w:sz w:val="28"/>
                <w:szCs w:val="28"/>
              </w:rPr>
            </w:pPr>
            <w:r w:rsidRPr="00ED5C33">
              <w:rPr>
                <w:sz w:val="28"/>
                <w:szCs w:val="28"/>
              </w:rPr>
              <w:t> </w:t>
            </w:r>
            <w:r w:rsidR="00F030D0">
              <w:rPr>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607918" w14:textId="62F25227" w:rsidR="00AC3066" w:rsidRPr="00ED5C33" w:rsidRDefault="00F030D0" w:rsidP="003743C1">
            <w:pPr>
              <w:jc w:val="right"/>
              <w:rPr>
                <w:rFonts w:eastAsia="Calibri"/>
                <w:sz w:val="28"/>
                <w:szCs w:val="28"/>
              </w:rPr>
            </w:pPr>
            <w:r>
              <w:rPr>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1297D0" w14:textId="389F3E34" w:rsidR="00AC3066" w:rsidRPr="00ED5C33" w:rsidRDefault="00F030D0" w:rsidP="003743C1">
            <w:pPr>
              <w:jc w:val="right"/>
              <w:rPr>
                <w:rFonts w:eastAsia="Calibri"/>
                <w:sz w:val="28"/>
                <w:szCs w:val="28"/>
              </w:rPr>
            </w:pPr>
            <w:r>
              <w:rPr>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56D76A" w14:textId="44936C7A" w:rsidR="00AC3066" w:rsidRPr="00ED5C33" w:rsidRDefault="00F030D0" w:rsidP="003743C1">
            <w:pPr>
              <w:jc w:val="right"/>
              <w:rPr>
                <w:rFonts w:eastAsia="Calibri"/>
                <w:sz w:val="28"/>
                <w:szCs w:val="28"/>
              </w:rPr>
            </w:pPr>
            <w:r>
              <w:rPr>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892B09B" w14:textId="4F91D597" w:rsidR="00AC3066" w:rsidRPr="00ED5C33" w:rsidRDefault="00F030D0" w:rsidP="003743C1">
            <w:pPr>
              <w:jc w:val="right"/>
              <w:rPr>
                <w:rFonts w:eastAsia="Calibri"/>
                <w:sz w:val="28"/>
                <w:szCs w:val="28"/>
              </w:rPr>
            </w:pPr>
            <w:r>
              <w:rPr>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8E25DE" w14:textId="586A6E64" w:rsidR="00AC3066" w:rsidRPr="00ED5C33" w:rsidRDefault="00F030D0" w:rsidP="003743C1">
            <w:pPr>
              <w:jc w:val="right"/>
              <w:rPr>
                <w:rFonts w:eastAsia="Calibri"/>
                <w:sz w:val="28"/>
                <w:szCs w:val="28"/>
              </w:rPr>
            </w:pPr>
            <w:r>
              <w:rPr>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4F7D5B" w14:textId="0AA7D2DC" w:rsidR="00AC3066" w:rsidRPr="00ED5C33" w:rsidRDefault="00F030D0" w:rsidP="003743C1">
            <w:pPr>
              <w:jc w:val="right"/>
              <w:rPr>
                <w:rFonts w:eastAsia="Calibri"/>
                <w:sz w:val="28"/>
                <w:szCs w:val="28"/>
              </w:rPr>
            </w:pPr>
            <w:r>
              <w:rPr>
                <w:sz w:val="28"/>
                <w:szCs w:val="28"/>
              </w:rPr>
              <w:t>0</w:t>
            </w:r>
          </w:p>
        </w:tc>
      </w:tr>
      <w:tr w:rsidR="00AC3066" w:rsidRPr="00ED5C33" w14:paraId="4F26A89F" w14:textId="77777777" w:rsidTr="00F030D0">
        <w:tc>
          <w:tcPr>
            <w:tcW w:w="1801" w:type="dxa"/>
            <w:tcBorders>
              <w:top w:val="single" w:sz="4" w:space="0" w:color="000000"/>
              <w:left w:val="single" w:sz="4" w:space="0" w:color="000000"/>
              <w:bottom w:val="single" w:sz="4" w:space="0" w:color="000000"/>
            </w:tcBorders>
            <w:shd w:val="clear" w:color="auto" w:fill="auto"/>
          </w:tcPr>
          <w:p w14:paraId="1FEE657B" w14:textId="77777777" w:rsidR="00AC3066" w:rsidRPr="00ED5C33" w:rsidRDefault="00DE655A">
            <w:pPr>
              <w:rPr>
                <w:rFonts w:eastAsia="Calibri"/>
                <w:sz w:val="28"/>
                <w:szCs w:val="28"/>
              </w:rPr>
            </w:pPr>
            <w:r w:rsidRPr="00ED5C33">
              <w:rPr>
                <w:sz w:val="28"/>
                <w:szCs w:val="28"/>
              </w:rPr>
              <w:t>2.3. pašvaldību 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7B7DFFA" w14:textId="26C1404A" w:rsidR="00AC3066" w:rsidRPr="00ED5C33" w:rsidRDefault="00DE655A" w:rsidP="003743C1">
            <w:pPr>
              <w:jc w:val="right"/>
              <w:rPr>
                <w:rFonts w:eastAsia="Calibri"/>
                <w:sz w:val="28"/>
                <w:szCs w:val="28"/>
              </w:rPr>
            </w:pPr>
            <w:r w:rsidRPr="00ED5C33">
              <w:rPr>
                <w:sz w:val="28"/>
                <w:szCs w:val="28"/>
              </w:rPr>
              <w:t> </w:t>
            </w:r>
            <w:r w:rsidR="00F030D0">
              <w:rPr>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4182775" w14:textId="43927B3B" w:rsidR="00AC3066" w:rsidRPr="00ED5C33" w:rsidRDefault="00F030D0" w:rsidP="003743C1">
            <w:pPr>
              <w:jc w:val="right"/>
              <w:rPr>
                <w:rFonts w:eastAsia="Calibri"/>
                <w:sz w:val="28"/>
                <w:szCs w:val="28"/>
              </w:rPr>
            </w:pPr>
            <w:r>
              <w:rPr>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AE585F" w14:textId="2AC60C32" w:rsidR="00AC3066" w:rsidRPr="00ED5C33" w:rsidRDefault="00F030D0" w:rsidP="003743C1">
            <w:pPr>
              <w:jc w:val="right"/>
              <w:rPr>
                <w:rFonts w:eastAsia="Calibri"/>
                <w:sz w:val="28"/>
                <w:szCs w:val="28"/>
              </w:rPr>
            </w:pPr>
            <w:r>
              <w:rPr>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80F614" w14:textId="1EC1B34F"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26D0E45" w14:textId="0A24FA55" w:rsidR="00AC3066" w:rsidRPr="00ED5C33" w:rsidRDefault="00F030D0" w:rsidP="003743C1">
            <w:pPr>
              <w:jc w:val="right"/>
              <w:rPr>
                <w:rFonts w:eastAsia="Calibri"/>
                <w:sz w:val="28"/>
                <w:szCs w:val="28"/>
              </w:rPr>
            </w:pPr>
            <w:r>
              <w:rPr>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CC93EF7" w14:textId="7975070B" w:rsidR="00AC3066" w:rsidRPr="00ED5C33" w:rsidRDefault="00F030D0" w:rsidP="003743C1">
            <w:pPr>
              <w:jc w:val="right"/>
              <w:rPr>
                <w:rFonts w:eastAsia="Calibri"/>
                <w:sz w:val="28"/>
                <w:szCs w:val="28"/>
              </w:rPr>
            </w:pPr>
            <w:r>
              <w:rPr>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151A9" w14:textId="62218D70" w:rsidR="00AC3066" w:rsidRPr="00ED5C33" w:rsidRDefault="00F030D0" w:rsidP="003743C1">
            <w:pPr>
              <w:jc w:val="right"/>
              <w:rPr>
                <w:rFonts w:eastAsia="Calibri"/>
                <w:sz w:val="28"/>
                <w:szCs w:val="28"/>
              </w:rPr>
            </w:pPr>
            <w:r>
              <w:rPr>
                <w:sz w:val="28"/>
                <w:szCs w:val="28"/>
              </w:rPr>
              <w:t>0</w:t>
            </w:r>
          </w:p>
        </w:tc>
      </w:tr>
      <w:tr w:rsidR="00AC3066" w:rsidRPr="00ED5C33" w14:paraId="2EBBC7F5" w14:textId="77777777" w:rsidTr="00F030D0">
        <w:tc>
          <w:tcPr>
            <w:tcW w:w="1801" w:type="dxa"/>
            <w:tcBorders>
              <w:top w:val="single" w:sz="4" w:space="0" w:color="000000"/>
              <w:left w:val="single" w:sz="4" w:space="0" w:color="000000"/>
              <w:bottom w:val="single" w:sz="4" w:space="0" w:color="000000"/>
            </w:tcBorders>
            <w:shd w:val="clear" w:color="auto" w:fill="auto"/>
          </w:tcPr>
          <w:p w14:paraId="191FA8B7" w14:textId="77777777" w:rsidR="00AC3066" w:rsidRPr="00ED5C33" w:rsidRDefault="00DE655A">
            <w:pPr>
              <w:rPr>
                <w:rFonts w:eastAsia="Calibri"/>
                <w:sz w:val="28"/>
                <w:szCs w:val="28"/>
              </w:rPr>
            </w:pPr>
            <w:r w:rsidRPr="00ED5C33">
              <w:rPr>
                <w:sz w:val="28"/>
                <w:szCs w:val="28"/>
              </w:rPr>
              <w:t>3. Finansiālā ietekme</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E983CDC" w14:textId="4FD5CF7A"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163AF98" w14:textId="588554EF"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85434CF" w14:textId="0E1837F5"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17AB3D3" w14:textId="52277164"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51A28F" w14:textId="4E35FCCB"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D619EC" w14:textId="082FCE11" w:rsidR="00AC3066" w:rsidRPr="00ED5C33" w:rsidRDefault="00F030D0"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AD41A2" w14:textId="2D011F3E" w:rsidR="00AC3066" w:rsidRPr="00ED5C33" w:rsidRDefault="00F030D0" w:rsidP="003743C1">
            <w:pPr>
              <w:jc w:val="right"/>
              <w:rPr>
                <w:rFonts w:eastAsia="Calibri"/>
                <w:sz w:val="28"/>
                <w:szCs w:val="28"/>
              </w:rPr>
            </w:pPr>
            <w:r>
              <w:rPr>
                <w:rFonts w:eastAsia="Calibri"/>
                <w:sz w:val="28"/>
                <w:szCs w:val="28"/>
              </w:rPr>
              <w:t>0</w:t>
            </w:r>
          </w:p>
        </w:tc>
      </w:tr>
      <w:tr w:rsidR="00AC3066" w:rsidRPr="00ED5C33" w14:paraId="738FF98A" w14:textId="77777777" w:rsidTr="00F030D0">
        <w:tc>
          <w:tcPr>
            <w:tcW w:w="1801" w:type="dxa"/>
            <w:tcBorders>
              <w:top w:val="single" w:sz="4" w:space="0" w:color="000000"/>
              <w:left w:val="single" w:sz="4" w:space="0" w:color="000000"/>
              <w:bottom w:val="single" w:sz="4" w:space="0" w:color="000000"/>
            </w:tcBorders>
            <w:shd w:val="clear" w:color="auto" w:fill="auto"/>
          </w:tcPr>
          <w:p w14:paraId="74F2CF41" w14:textId="77777777" w:rsidR="00AC3066" w:rsidRPr="00ED5C33" w:rsidRDefault="00DE655A">
            <w:pPr>
              <w:rPr>
                <w:rFonts w:eastAsia="Calibri"/>
                <w:sz w:val="28"/>
                <w:szCs w:val="28"/>
              </w:rPr>
            </w:pPr>
            <w:r w:rsidRPr="00ED5C33">
              <w:rPr>
                <w:sz w:val="28"/>
                <w:szCs w:val="28"/>
              </w:rPr>
              <w:t>3.1. valsts pamatbudžets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05D4DF" w14:textId="1F1868CA"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C423FC" w14:textId="0678CA01"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3A56480" w14:textId="62EA39D0"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0D2FD4" w14:textId="4EB8DC45"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3F0D419" w14:textId="24E718A3"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9059522" w14:textId="50A8E953" w:rsidR="00AC3066" w:rsidRPr="00ED5C33" w:rsidRDefault="00F030D0"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36E8DB" w14:textId="7B0BF342" w:rsidR="00AC3066" w:rsidRPr="00ED5C33" w:rsidRDefault="00F030D0" w:rsidP="003743C1">
            <w:pPr>
              <w:jc w:val="right"/>
              <w:rPr>
                <w:rFonts w:eastAsia="Calibri"/>
                <w:sz w:val="28"/>
                <w:szCs w:val="28"/>
              </w:rPr>
            </w:pPr>
            <w:r>
              <w:rPr>
                <w:rFonts w:eastAsia="Calibri"/>
                <w:sz w:val="28"/>
                <w:szCs w:val="28"/>
              </w:rPr>
              <w:t>0</w:t>
            </w:r>
          </w:p>
        </w:tc>
      </w:tr>
      <w:tr w:rsidR="00AC3066" w:rsidRPr="00ED5C33" w14:paraId="7D8D13B4" w14:textId="77777777" w:rsidTr="00F030D0">
        <w:tc>
          <w:tcPr>
            <w:tcW w:w="1801" w:type="dxa"/>
            <w:tcBorders>
              <w:top w:val="single" w:sz="4" w:space="0" w:color="000000"/>
              <w:left w:val="single" w:sz="4" w:space="0" w:color="000000"/>
              <w:bottom w:val="single" w:sz="4" w:space="0" w:color="000000"/>
            </w:tcBorders>
            <w:shd w:val="clear" w:color="auto" w:fill="auto"/>
          </w:tcPr>
          <w:p w14:paraId="7565171E" w14:textId="77777777" w:rsidR="00AC3066" w:rsidRPr="00ED5C33" w:rsidRDefault="00DE655A">
            <w:pPr>
              <w:rPr>
                <w:rFonts w:eastAsia="Calibri"/>
                <w:sz w:val="28"/>
                <w:szCs w:val="28"/>
              </w:rPr>
            </w:pPr>
            <w:r w:rsidRPr="00ED5C33">
              <w:rPr>
                <w:sz w:val="28"/>
                <w:szCs w:val="28"/>
              </w:rPr>
              <w:t>3.2. speciālais 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234E0FF" w14:textId="14803094"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A85D4C" w14:textId="14D44C26"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30FEB1A" w14:textId="2F7A11FE"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4BB0AA9" w14:textId="7910FBFC"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6949594" w14:textId="1B9FF407"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3B15FC" w14:textId="62615F39" w:rsidR="00AC3066" w:rsidRPr="00ED5C33" w:rsidRDefault="00F030D0"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C7441E" w14:textId="4C8EEDC4" w:rsidR="00AC3066" w:rsidRPr="00ED5C33" w:rsidRDefault="00F030D0" w:rsidP="003743C1">
            <w:pPr>
              <w:jc w:val="right"/>
              <w:rPr>
                <w:rFonts w:eastAsia="Calibri"/>
                <w:sz w:val="28"/>
                <w:szCs w:val="28"/>
              </w:rPr>
            </w:pPr>
            <w:r>
              <w:rPr>
                <w:rFonts w:eastAsia="Calibri"/>
                <w:sz w:val="28"/>
                <w:szCs w:val="28"/>
              </w:rPr>
              <w:t>0</w:t>
            </w:r>
          </w:p>
        </w:tc>
      </w:tr>
      <w:tr w:rsidR="00AC3066" w:rsidRPr="00ED5C33" w14:paraId="3C55C87C" w14:textId="77777777" w:rsidTr="00F030D0">
        <w:tc>
          <w:tcPr>
            <w:tcW w:w="1801" w:type="dxa"/>
            <w:tcBorders>
              <w:top w:val="single" w:sz="4" w:space="0" w:color="000000"/>
              <w:left w:val="single" w:sz="4" w:space="0" w:color="000000"/>
              <w:bottom w:val="single" w:sz="4" w:space="0" w:color="000000"/>
            </w:tcBorders>
            <w:shd w:val="clear" w:color="auto" w:fill="auto"/>
          </w:tcPr>
          <w:p w14:paraId="2839D44E" w14:textId="77777777" w:rsidR="00AC3066" w:rsidRPr="00ED5C33" w:rsidRDefault="00DE655A">
            <w:pPr>
              <w:rPr>
                <w:rFonts w:eastAsia="Calibri"/>
                <w:sz w:val="28"/>
                <w:szCs w:val="28"/>
              </w:rPr>
            </w:pPr>
            <w:r w:rsidRPr="00ED5C33">
              <w:rPr>
                <w:sz w:val="28"/>
                <w:szCs w:val="28"/>
              </w:rPr>
              <w:t>3.3. pašvaldību 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D928E2D" w14:textId="22444CCD"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652606" w14:textId="31430AB9"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706734" w14:textId="73FF2229"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4342A7B" w14:textId="1DCE7FA0"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04E7C71" w14:textId="1602D300"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E08A0AA" w14:textId="0565717C" w:rsidR="00AC3066" w:rsidRPr="00ED5C33" w:rsidRDefault="00F030D0"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087AA5" w14:textId="1FBF444B" w:rsidR="00AC3066" w:rsidRPr="00ED5C33" w:rsidRDefault="00F030D0" w:rsidP="003743C1">
            <w:pPr>
              <w:jc w:val="right"/>
              <w:rPr>
                <w:rFonts w:eastAsia="Calibri"/>
                <w:sz w:val="28"/>
                <w:szCs w:val="28"/>
              </w:rPr>
            </w:pPr>
            <w:r>
              <w:rPr>
                <w:rFonts w:eastAsia="Calibri"/>
                <w:sz w:val="28"/>
                <w:szCs w:val="28"/>
              </w:rPr>
              <w:t>0</w:t>
            </w:r>
          </w:p>
        </w:tc>
      </w:tr>
      <w:tr w:rsidR="00AC3066" w:rsidRPr="00ED5C33" w14:paraId="1D60F973" w14:textId="77777777" w:rsidTr="00F030D0">
        <w:tc>
          <w:tcPr>
            <w:tcW w:w="1801" w:type="dxa"/>
            <w:tcBorders>
              <w:top w:val="single" w:sz="4" w:space="0" w:color="000000"/>
              <w:left w:val="single" w:sz="4" w:space="0" w:color="000000"/>
              <w:bottom w:val="single" w:sz="4" w:space="0" w:color="000000"/>
            </w:tcBorders>
            <w:shd w:val="clear" w:color="auto" w:fill="auto"/>
          </w:tcPr>
          <w:p w14:paraId="41F90DE5" w14:textId="77777777" w:rsidR="00AC3066" w:rsidRPr="00ED5C33" w:rsidRDefault="00DE655A">
            <w:pPr>
              <w:rPr>
                <w:rFonts w:eastAsia="Calibri"/>
                <w:sz w:val="28"/>
                <w:szCs w:val="28"/>
              </w:rPr>
            </w:pPr>
            <w:r w:rsidRPr="00ED5C33">
              <w:rPr>
                <w:sz w:val="28"/>
                <w:szCs w:val="28"/>
              </w:rPr>
              <w:t>4. Finanšu līdzekļi papildu izdevumu finansēšanai (kompensējošu izdevumu samazinājumu norāda ar "+" zīmi)</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96E3A9" w14:textId="07ABA51A"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A87939" w14:textId="5EE97E3B" w:rsidR="00AC3066" w:rsidRPr="00ED5C33" w:rsidRDefault="00F030D0" w:rsidP="003743C1">
            <w:pPr>
              <w:jc w:val="right"/>
              <w:rPr>
                <w:sz w:val="28"/>
                <w:szCs w:val="28"/>
              </w:rPr>
            </w:pPr>
            <w:r>
              <w:rPr>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3F6DB4" w14:textId="3E9C8895" w:rsidR="00AC3066"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605EBE" w14:textId="16308C3B" w:rsidR="00AC3066" w:rsidRPr="00ED5C33" w:rsidRDefault="00F030D0" w:rsidP="003743C1">
            <w:pPr>
              <w:jc w:val="right"/>
              <w:rPr>
                <w:sz w:val="28"/>
                <w:szCs w:val="28"/>
              </w:rPr>
            </w:pPr>
            <w:r>
              <w:rPr>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F1F7C63" w14:textId="5F806D94" w:rsidR="00AC3066"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F3A1E2" w14:textId="5CF89ECE" w:rsidR="00AC3066" w:rsidRPr="00ED5C33" w:rsidRDefault="00F030D0"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960C41" w14:textId="48F12F16" w:rsidR="00AC3066" w:rsidRPr="00ED5C33" w:rsidRDefault="00F030D0" w:rsidP="003743C1">
            <w:pPr>
              <w:jc w:val="right"/>
              <w:rPr>
                <w:rFonts w:eastAsia="Calibri"/>
                <w:sz w:val="28"/>
                <w:szCs w:val="28"/>
              </w:rPr>
            </w:pPr>
            <w:r>
              <w:rPr>
                <w:rFonts w:eastAsia="Calibri"/>
                <w:sz w:val="28"/>
                <w:szCs w:val="28"/>
              </w:rPr>
              <w:t>0</w:t>
            </w:r>
          </w:p>
        </w:tc>
      </w:tr>
      <w:tr w:rsidR="0074554D" w:rsidRPr="00ED5C33" w14:paraId="300A85AA" w14:textId="77777777" w:rsidTr="0074554D">
        <w:tc>
          <w:tcPr>
            <w:tcW w:w="1801" w:type="dxa"/>
            <w:tcBorders>
              <w:top w:val="single" w:sz="4" w:space="0" w:color="000000"/>
              <w:left w:val="single" w:sz="4" w:space="0" w:color="000000"/>
              <w:bottom w:val="single" w:sz="4" w:space="0" w:color="000000"/>
            </w:tcBorders>
            <w:shd w:val="clear" w:color="auto" w:fill="auto"/>
          </w:tcPr>
          <w:p w14:paraId="2C4E7078" w14:textId="77777777" w:rsidR="0074554D" w:rsidRPr="00ED5C33" w:rsidRDefault="0074554D">
            <w:pPr>
              <w:rPr>
                <w:rFonts w:eastAsia="Calibri"/>
                <w:sz w:val="28"/>
                <w:szCs w:val="28"/>
              </w:rPr>
            </w:pPr>
            <w:r w:rsidRPr="00ED5C33">
              <w:rPr>
                <w:sz w:val="28"/>
                <w:szCs w:val="28"/>
              </w:rPr>
              <w:t>5. Precizēta finansiālā ietekme</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0EAFBC4" w14:textId="1AF035EF" w:rsidR="0074554D"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C99035" w14:textId="0C51C860"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1AE544" w14:textId="3880C758" w:rsidR="0074554D"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5DA3088" w14:textId="3F6C44D9"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D0721E" w14:textId="379A166B" w:rsidR="0074554D"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BB6A91D" w14:textId="2D5ADBB1" w:rsidR="0074554D" w:rsidRPr="00ED5C33" w:rsidRDefault="00F030D0"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828A90" w14:textId="11AAE075" w:rsidR="0074554D" w:rsidRPr="00ED5C33" w:rsidRDefault="00F030D0" w:rsidP="003743C1">
            <w:pPr>
              <w:jc w:val="right"/>
              <w:rPr>
                <w:rFonts w:eastAsia="Calibri"/>
                <w:sz w:val="28"/>
                <w:szCs w:val="28"/>
              </w:rPr>
            </w:pPr>
            <w:r>
              <w:rPr>
                <w:rFonts w:eastAsia="Calibri"/>
                <w:sz w:val="28"/>
                <w:szCs w:val="28"/>
              </w:rPr>
              <w:t>0</w:t>
            </w:r>
          </w:p>
        </w:tc>
      </w:tr>
      <w:tr w:rsidR="0074554D" w:rsidRPr="00ED5C33" w14:paraId="4A970D29" w14:textId="77777777" w:rsidTr="0074554D">
        <w:tc>
          <w:tcPr>
            <w:tcW w:w="1801" w:type="dxa"/>
            <w:tcBorders>
              <w:top w:val="single" w:sz="4" w:space="0" w:color="000000"/>
              <w:left w:val="single" w:sz="4" w:space="0" w:color="000000"/>
              <w:bottom w:val="single" w:sz="4" w:space="0" w:color="000000"/>
            </w:tcBorders>
            <w:shd w:val="clear" w:color="auto" w:fill="auto"/>
          </w:tcPr>
          <w:p w14:paraId="1EB68BF3" w14:textId="77777777" w:rsidR="0074554D" w:rsidRPr="00ED5C33" w:rsidRDefault="0074554D">
            <w:pPr>
              <w:rPr>
                <w:rFonts w:eastAsia="Calibri"/>
                <w:sz w:val="28"/>
                <w:szCs w:val="28"/>
              </w:rPr>
            </w:pPr>
            <w:r w:rsidRPr="00ED5C33">
              <w:rPr>
                <w:sz w:val="28"/>
                <w:szCs w:val="28"/>
              </w:rPr>
              <w:t>5.1. valsts pamatbudžets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239DCD" w14:textId="6371A319"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vAlign w:val="center"/>
          </w:tcPr>
          <w:p w14:paraId="5D69A7F9" w14:textId="198AD192" w:rsidR="0074554D"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95DE7E1" w14:textId="7D969F8F"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vAlign w:val="center"/>
          </w:tcPr>
          <w:p w14:paraId="62957635" w14:textId="167422C5" w:rsidR="0074554D"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AE4B66F" w14:textId="00668FC0"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vAlign w:val="center"/>
          </w:tcPr>
          <w:p w14:paraId="5337785F" w14:textId="79A5645B" w:rsidR="0074554D" w:rsidRPr="00ED5C33" w:rsidRDefault="00F030D0"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1A942" w14:textId="5907EC52" w:rsidR="0074554D" w:rsidRPr="00ED5C33" w:rsidRDefault="00F030D0" w:rsidP="003743C1">
            <w:pPr>
              <w:jc w:val="right"/>
              <w:rPr>
                <w:rFonts w:eastAsia="Calibri"/>
                <w:sz w:val="28"/>
                <w:szCs w:val="28"/>
              </w:rPr>
            </w:pPr>
            <w:r>
              <w:rPr>
                <w:rFonts w:eastAsia="Calibri"/>
                <w:sz w:val="28"/>
                <w:szCs w:val="28"/>
              </w:rPr>
              <w:t>0</w:t>
            </w:r>
          </w:p>
        </w:tc>
      </w:tr>
      <w:tr w:rsidR="0074554D" w:rsidRPr="00ED5C33" w14:paraId="00327735" w14:textId="77777777" w:rsidTr="0074554D">
        <w:tc>
          <w:tcPr>
            <w:tcW w:w="1801" w:type="dxa"/>
            <w:tcBorders>
              <w:top w:val="single" w:sz="4" w:space="0" w:color="000000"/>
              <w:left w:val="single" w:sz="4" w:space="0" w:color="000000"/>
              <w:bottom w:val="single" w:sz="4" w:space="0" w:color="000000"/>
            </w:tcBorders>
            <w:shd w:val="clear" w:color="auto" w:fill="auto"/>
          </w:tcPr>
          <w:p w14:paraId="1FE0C2FA" w14:textId="77777777" w:rsidR="0074554D" w:rsidRPr="00ED5C33" w:rsidRDefault="0074554D">
            <w:pPr>
              <w:rPr>
                <w:rFonts w:eastAsia="Calibri"/>
                <w:sz w:val="28"/>
                <w:szCs w:val="28"/>
              </w:rPr>
            </w:pPr>
            <w:r w:rsidRPr="00ED5C33">
              <w:rPr>
                <w:sz w:val="28"/>
                <w:szCs w:val="28"/>
              </w:rPr>
              <w:t>5.2. speciālais 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A4A593" w14:textId="2001F85B"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vAlign w:val="center"/>
          </w:tcPr>
          <w:p w14:paraId="2370A716" w14:textId="06A18A7D" w:rsidR="0074554D"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3C6B0B0" w14:textId="7E4A7F33"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vAlign w:val="center"/>
          </w:tcPr>
          <w:p w14:paraId="68752488" w14:textId="0AFEC4A9" w:rsidR="0074554D"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1075204" w14:textId="6ACB480E"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vAlign w:val="center"/>
          </w:tcPr>
          <w:p w14:paraId="40E250C6" w14:textId="139837ED" w:rsidR="0074554D" w:rsidRPr="00ED5C33" w:rsidRDefault="00F030D0"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41965E" w14:textId="51A635DF" w:rsidR="0074554D" w:rsidRPr="00ED5C33" w:rsidRDefault="00F030D0" w:rsidP="003743C1">
            <w:pPr>
              <w:jc w:val="right"/>
              <w:rPr>
                <w:rFonts w:eastAsia="Calibri"/>
                <w:sz w:val="28"/>
                <w:szCs w:val="28"/>
              </w:rPr>
            </w:pPr>
            <w:r>
              <w:rPr>
                <w:rFonts w:eastAsia="Calibri"/>
                <w:sz w:val="28"/>
                <w:szCs w:val="28"/>
              </w:rPr>
              <w:t>0</w:t>
            </w:r>
          </w:p>
        </w:tc>
      </w:tr>
      <w:tr w:rsidR="0074554D" w:rsidRPr="00ED5C33" w14:paraId="4ED69D7E" w14:textId="77777777" w:rsidTr="0074554D">
        <w:tc>
          <w:tcPr>
            <w:tcW w:w="1801" w:type="dxa"/>
            <w:tcBorders>
              <w:top w:val="single" w:sz="4" w:space="0" w:color="000000"/>
              <w:left w:val="single" w:sz="4" w:space="0" w:color="000000"/>
              <w:bottom w:val="single" w:sz="4" w:space="0" w:color="000000"/>
            </w:tcBorders>
            <w:shd w:val="clear" w:color="auto" w:fill="auto"/>
          </w:tcPr>
          <w:p w14:paraId="2B13E4AD" w14:textId="77777777" w:rsidR="0074554D" w:rsidRPr="00ED5C33" w:rsidRDefault="0074554D">
            <w:pPr>
              <w:rPr>
                <w:rFonts w:eastAsia="Calibri"/>
                <w:sz w:val="28"/>
                <w:szCs w:val="28"/>
              </w:rPr>
            </w:pPr>
            <w:r w:rsidRPr="00ED5C33">
              <w:rPr>
                <w:sz w:val="28"/>
                <w:szCs w:val="28"/>
              </w:rPr>
              <w:t>5.3. pašvaldību budžets</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5389213" w14:textId="706D7D62"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vAlign w:val="center"/>
          </w:tcPr>
          <w:p w14:paraId="5648A0DE" w14:textId="336FFC7B" w:rsidR="0074554D" w:rsidRPr="00ED5C33" w:rsidRDefault="00F030D0" w:rsidP="003743C1">
            <w:pPr>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5046CE" w14:textId="6A35D977"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gridSpan w:val="2"/>
            <w:tcBorders>
              <w:top w:val="single" w:sz="4" w:space="0" w:color="000000"/>
              <w:left w:val="single" w:sz="4" w:space="0" w:color="000000"/>
              <w:bottom w:val="single" w:sz="4" w:space="0" w:color="000000"/>
            </w:tcBorders>
            <w:shd w:val="clear" w:color="auto" w:fill="auto"/>
            <w:vAlign w:val="center"/>
          </w:tcPr>
          <w:p w14:paraId="11B924BB" w14:textId="2EE4A1D1" w:rsidR="0074554D" w:rsidRPr="00ED5C33" w:rsidRDefault="00F030D0" w:rsidP="003743C1">
            <w:pPr>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6C2CFE3" w14:textId="1420A4DF" w:rsidR="0074554D" w:rsidRPr="00ED5C33" w:rsidRDefault="00F030D0" w:rsidP="003743C1">
            <w:pPr>
              <w:snapToGrid w:val="0"/>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tcBorders>
            <w:shd w:val="clear" w:color="auto" w:fill="auto"/>
            <w:vAlign w:val="center"/>
          </w:tcPr>
          <w:p w14:paraId="7AADE28C" w14:textId="4361BF9A" w:rsidR="0074554D" w:rsidRPr="00ED5C33" w:rsidRDefault="00F030D0" w:rsidP="003743C1">
            <w:pPr>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D8FFB4" w14:textId="18004074" w:rsidR="0074554D" w:rsidRPr="00ED5C33" w:rsidRDefault="00F030D0" w:rsidP="003743C1">
            <w:pPr>
              <w:jc w:val="right"/>
              <w:rPr>
                <w:rFonts w:eastAsia="Calibri"/>
                <w:sz w:val="28"/>
                <w:szCs w:val="28"/>
              </w:rPr>
            </w:pPr>
            <w:r>
              <w:rPr>
                <w:rFonts w:eastAsia="Calibri"/>
                <w:sz w:val="28"/>
                <w:szCs w:val="28"/>
              </w:rPr>
              <w:t>0</w:t>
            </w:r>
          </w:p>
        </w:tc>
      </w:tr>
      <w:tr w:rsidR="0074554D" w:rsidRPr="00ED5C33" w14:paraId="51D736E4" w14:textId="77777777" w:rsidTr="0074554D">
        <w:tc>
          <w:tcPr>
            <w:tcW w:w="1801" w:type="dxa"/>
            <w:tcBorders>
              <w:top w:val="single" w:sz="4" w:space="0" w:color="000000"/>
              <w:left w:val="single" w:sz="4" w:space="0" w:color="000000"/>
              <w:bottom w:val="single" w:sz="4" w:space="0" w:color="000000"/>
            </w:tcBorders>
            <w:shd w:val="clear" w:color="auto" w:fill="auto"/>
          </w:tcPr>
          <w:p w14:paraId="1A64C36B" w14:textId="77777777" w:rsidR="0074554D" w:rsidRPr="00ED5C33" w:rsidRDefault="0074554D">
            <w:pPr>
              <w:rPr>
                <w:rFonts w:eastAsia="Calibri"/>
                <w:sz w:val="28"/>
                <w:szCs w:val="28"/>
              </w:rPr>
            </w:pPr>
            <w:r w:rsidRPr="00ED5C33">
              <w:rPr>
                <w:sz w:val="28"/>
                <w:szCs w:val="28"/>
              </w:rPr>
              <w:lastRenderedPageBreak/>
              <w:t>6. Detalizēts ieņēmumu un izdevumu aprēķins (ja nepieciešams, detalizētu ieņēmumu un izdevumu aprēķinu var pievienot anotācijas pielikumā)</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569838" w14:textId="0B99426A" w:rsidR="0074554D" w:rsidRPr="00ED5C33" w:rsidRDefault="0074554D" w:rsidP="003743C1">
            <w:pPr>
              <w:jc w:val="right"/>
              <w:rPr>
                <w:rFonts w:eastAsia="Calibri"/>
                <w:sz w:val="28"/>
                <w:szCs w:val="2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A4B05" w14:textId="77777777" w:rsidR="0074554D" w:rsidRPr="00ED5C33" w:rsidRDefault="0074554D" w:rsidP="003743C1">
            <w:pPr>
              <w:jc w:val="right"/>
              <w:rPr>
                <w:rFonts w:eastAsia="Calibri"/>
                <w:sz w:val="28"/>
                <w:szCs w:val="28"/>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D053D" w14:textId="77777777" w:rsidR="0074554D" w:rsidRPr="00ED5C33" w:rsidRDefault="0074554D" w:rsidP="003743C1">
            <w:pPr>
              <w:jc w:val="right"/>
              <w:rPr>
                <w:rFonts w:eastAsia="Calibri"/>
                <w:sz w:val="28"/>
                <w:szCs w:val="28"/>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7EC9C1" w14:textId="77777777" w:rsidR="0074554D" w:rsidRPr="00ED5C33" w:rsidRDefault="0074554D" w:rsidP="003743C1">
            <w:pPr>
              <w:jc w:val="right"/>
              <w:rPr>
                <w:rFonts w:eastAsia="Calibri"/>
                <w:sz w:val="28"/>
                <w:szCs w:val="2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ECDB9" w14:textId="77777777" w:rsidR="0074554D" w:rsidRPr="00ED5C33" w:rsidRDefault="0074554D" w:rsidP="003743C1">
            <w:pPr>
              <w:jc w:val="right"/>
              <w:rPr>
                <w:rFonts w:eastAsia="Calibri"/>
                <w:sz w:val="28"/>
                <w:szCs w:val="2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1F87" w14:textId="77777777" w:rsidR="0074554D" w:rsidRPr="00ED5C33" w:rsidRDefault="0074554D" w:rsidP="003743C1">
            <w:pPr>
              <w:jc w:val="right"/>
              <w:rPr>
                <w:rFonts w:eastAsia="Calibri"/>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98EC7" w14:textId="3CAB6BE2" w:rsidR="0074554D" w:rsidRPr="00ED5C33" w:rsidRDefault="0074554D" w:rsidP="003743C1">
            <w:pPr>
              <w:jc w:val="right"/>
              <w:rPr>
                <w:rFonts w:eastAsia="Calibri"/>
                <w:sz w:val="28"/>
                <w:szCs w:val="28"/>
              </w:rPr>
            </w:pPr>
          </w:p>
        </w:tc>
      </w:tr>
      <w:tr w:rsidR="0074554D" w:rsidRPr="00ED5C33" w14:paraId="465B17D9" w14:textId="77777777" w:rsidTr="0074554D">
        <w:tc>
          <w:tcPr>
            <w:tcW w:w="1801" w:type="dxa"/>
            <w:tcBorders>
              <w:top w:val="single" w:sz="4" w:space="0" w:color="000000"/>
              <w:left w:val="single" w:sz="4" w:space="0" w:color="000000"/>
              <w:bottom w:val="single" w:sz="4" w:space="0" w:color="000000"/>
            </w:tcBorders>
            <w:shd w:val="clear" w:color="auto" w:fill="auto"/>
          </w:tcPr>
          <w:p w14:paraId="4861B76C" w14:textId="77777777" w:rsidR="0074554D" w:rsidRPr="00ED5C33" w:rsidRDefault="0074554D">
            <w:pPr>
              <w:rPr>
                <w:rFonts w:eastAsia="Calibri"/>
                <w:sz w:val="28"/>
                <w:szCs w:val="28"/>
              </w:rPr>
            </w:pPr>
            <w:r w:rsidRPr="00ED5C33">
              <w:rPr>
                <w:sz w:val="28"/>
                <w:szCs w:val="28"/>
              </w:rPr>
              <w:t>6.1. detalizēts ieņēmumu aprēķins</w:t>
            </w:r>
          </w:p>
        </w:tc>
        <w:tc>
          <w:tcPr>
            <w:tcW w:w="1034"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1E484050" w14:textId="77777777" w:rsidR="0074554D" w:rsidRPr="00ED5C33" w:rsidRDefault="0074554D" w:rsidP="003743C1">
            <w:pPr>
              <w:snapToGrid w:val="0"/>
              <w:jc w:val="right"/>
              <w:rPr>
                <w:rFonts w:eastAsia="Calibri"/>
                <w:sz w:val="28"/>
                <w:szCs w:val="28"/>
              </w:rPr>
            </w:pPr>
          </w:p>
        </w:tc>
        <w:tc>
          <w:tcPr>
            <w:tcW w:w="1034" w:type="dxa"/>
            <w:tcBorders>
              <w:top w:val="single" w:sz="4" w:space="0" w:color="000000"/>
              <w:left w:val="single" w:sz="4" w:space="0" w:color="000000"/>
              <w:bottom w:val="single" w:sz="4" w:space="0" w:color="auto"/>
              <w:right w:val="single" w:sz="4" w:space="0" w:color="000000"/>
            </w:tcBorders>
            <w:shd w:val="clear" w:color="auto" w:fill="auto"/>
            <w:vAlign w:val="center"/>
          </w:tcPr>
          <w:p w14:paraId="54D8012C" w14:textId="77777777" w:rsidR="0074554D" w:rsidRPr="00ED5C33" w:rsidRDefault="0074554D" w:rsidP="003743C1">
            <w:pPr>
              <w:snapToGrid w:val="0"/>
              <w:jc w:val="right"/>
              <w:rPr>
                <w:rFonts w:eastAsia="Calibri"/>
                <w:sz w:val="28"/>
                <w:szCs w:val="28"/>
              </w:rPr>
            </w:pPr>
          </w:p>
        </w:tc>
        <w:tc>
          <w:tcPr>
            <w:tcW w:w="10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DB1D317" w14:textId="77777777" w:rsidR="0074554D" w:rsidRPr="00ED5C33" w:rsidRDefault="0074554D" w:rsidP="003743C1">
            <w:pPr>
              <w:snapToGrid w:val="0"/>
              <w:jc w:val="right"/>
              <w:rPr>
                <w:rFonts w:eastAsia="Calibri"/>
                <w:sz w:val="28"/>
                <w:szCs w:val="28"/>
              </w:rPr>
            </w:pPr>
          </w:p>
        </w:tc>
        <w:tc>
          <w:tcPr>
            <w:tcW w:w="10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9FC1EF4" w14:textId="02C06115" w:rsidR="0074554D" w:rsidRPr="00ED5C33" w:rsidRDefault="0074554D" w:rsidP="003743C1">
            <w:pPr>
              <w:snapToGrid w:val="0"/>
              <w:jc w:val="right"/>
              <w:rPr>
                <w:rFonts w:eastAsia="Calibri"/>
                <w:sz w:val="28"/>
                <w:szCs w:val="28"/>
              </w:rPr>
            </w:pPr>
            <w:r>
              <w:rPr>
                <w:rFonts w:eastAsia="Calibri"/>
                <w:sz w:val="28"/>
                <w:szCs w:val="28"/>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4B62" w14:textId="77777777" w:rsidR="0074554D" w:rsidRPr="00ED5C33" w:rsidRDefault="0074554D" w:rsidP="003743C1">
            <w:pPr>
              <w:snapToGrid w:val="0"/>
              <w:jc w:val="right"/>
              <w:rPr>
                <w:rFonts w:eastAsia="Calibri"/>
                <w:sz w:val="28"/>
                <w:szCs w:val="28"/>
              </w:rPr>
            </w:pPr>
          </w:p>
        </w:tc>
        <w:tc>
          <w:tcPr>
            <w:tcW w:w="1034" w:type="dxa"/>
            <w:tcBorders>
              <w:top w:val="single" w:sz="4" w:space="0" w:color="000000"/>
              <w:left w:val="single" w:sz="4" w:space="0" w:color="000000"/>
              <w:bottom w:val="single" w:sz="4" w:space="0" w:color="auto"/>
              <w:right w:val="single" w:sz="4" w:space="0" w:color="000000"/>
            </w:tcBorders>
            <w:shd w:val="clear" w:color="auto" w:fill="auto"/>
            <w:vAlign w:val="center"/>
          </w:tcPr>
          <w:p w14:paraId="4C24D926" w14:textId="29591163" w:rsidR="0074554D" w:rsidRPr="00ED5C33" w:rsidRDefault="0074554D" w:rsidP="003743C1">
            <w:pPr>
              <w:snapToGrid w:val="0"/>
              <w:jc w:val="right"/>
              <w:rPr>
                <w:rFonts w:eastAsia="Calibri"/>
                <w:sz w:val="28"/>
                <w:szCs w:val="28"/>
              </w:rPr>
            </w:pPr>
            <w:r>
              <w:rPr>
                <w:rFonts w:eastAsia="Calibri"/>
                <w:sz w:val="28"/>
                <w:szCs w:val="28"/>
              </w:rPr>
              <w:t>0</w:t>
            </w:r>
          </w:p>
        </w:tc>
        <w:tc>
          <w:tcPr>
            <w:tcW w:w="1035" w:type="dxa"/>
            <w:tcBorders>
              <w:top w:val="single" w:sz="4" w:space="0" w:color="000000"/>
              <w:left w:val="single" w:sz="4" w:space="0" w:color="000000"/>
              <w:bottom w:val="single" w:sz="4" w:space="0" w:color="auto"/>
              <w:right w:val="single" w:sz="4" w:space="0" w:color="000000"/>
            </w:tcBorders>
            <w:shd w:val="clear" w:color="auto" w:fill="auto"/>
            <w:vAlign w:val="center"/>
          </w:tcPr>
          <w:p w14:paraId="67C687F8" w14:textId="58FCC3A1" w:rsidR="0074554D" w:rsidRPr="00ED5C33" w:rsidRDefault="0074554D" w:rsidP="003743C1">
            <w:pPr>
              <w:snapToGrid w:val="0"/>
              <w:jc w:val="right"/>
              <w:rPr>
                <w:rFonts w:eastAsia="Calibri"/>
                <w:sz w:val="28"/>
                <w:szCs w:val="28"/>
              </w:rPr>
            </w:pPr>
            <w:r>
              <w:rPr>
                <w:rFonts w:eastAsia="Calibri"/>
                <w:sz w:val="28"/>
                <w:szCs w:val="28"/>
              </w:rPr>
              <w:t>0</w:t>
            </w:r>
          </w:p>
        </w:tc>
      </w:tr>
      <w:tr w:rsidR="0074554D" w:rsidRPr="00ED5C33" w14:paraId="65158665" w14:textId="77777777" w:rsidTr="003743C1">
        <w:trPr>
          <w:trHeight w:val="230"/>
        </w:trPr>
        <w:tc>
          <w:tcPr>
            <w:tcW w:w="1801" w:type="dxa"/>
            <w:vMerge w:val="restart"/>
            <w:tcBorders>
              <w:top w:val="single" w:sz="4" w:space="0" w:color="000000"/>
              <w:left w:val="single" w:sz="4" w:space="0" w:color="000000"/>
              <w:right w:val="single" w:sz="4" w:space="0" w:color="auto"/>
            </w:tcBorders>
            <w:shd w:val="clear" w:color="auto" w:fill="auto"/>
          </w:tcPr>
          <w:p w14:paraId="2FAEC91C" w14:textId="77777777" w:rsidR="0074554D" w:rsidRPr="00ED5C33" w:rsidRDefault="0074554D">
            <w:pPr>
              <w:rPr>
                <w:rFonts w:eastAsia="Calibri"/>
                <w:sz w:val="28"/>
                <w:szCs w:val="28"/>
              </w:rPr>
            </w:pPr>
            <w:r w:rsidRPr="00ED5C33">
              <w:rPr>
                <w:sz w:val="28"/>
                <w:szCs w:val="28"/>
              </w:rPr>
              <w:t>6.2. detalizēts izdevumu aprēķins</w:t>
            </w:r>
          </w:p>
        </w:tc>
        <w:tc>
          <w:tcPr>
            <w:tcW w:w="310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15A9CFE" w14:textId="511BB422" w:rsidR="0074554D" w:rsidRPr="00A92F30" w:rsidRDefault="00C049DC" w:rsidP="00F030D0">
            <w:pPr>
              <w:snapToGrid w:val="0"/>
              <w:jc w:val="both"/>
              <w:rPr>
                <w:rFonts w:eastAsia="Calibri"/>
                <w:szCs w:val="20"/>
              </w:rPr>
            </w:pPr>
            <w:proofErr w:type="spellStart"/>
            <w:r>
              <w:rPr>
                <w:szCs w:val="20"/>
              </w:rPr>
              <w:t>Possesor</w:t>
            </w:r>
            <w:proofErr w:type="spellEnd"/>
            <w:r>
              <w:rPr>
                <w:szCs w:val="20"/>
              </w:rPr>
              <w:t xml:space="preserve"> t</w:t>
            </w:r>
            <w:r w:rsidR="0074554D" w:rsidRPr="00A92F30">
              <w:rPr>
                <w:szCs w:val="20"/>
              </w:rPr>
              <w:t>ieši</w:t>
            </w:r>
            <w:r>
              <w:rPr>
                <w:szCs w:val="20"/>
              </w:rPr>
              <w:t xml:space="preserve"> deleģētā valsts pārvaldes uzdevumā</w:t>
            </w:r>
            <w:r w:rsidR="0074554D" w:rsidRPr="00A92F30">
              <w:rPr>
                <w:szCs w:val="20"/>
              </w:rPr>
              <w:t xml:space="preserve"> iesaistīto darbinieku darba samaksa ar visiem nodokļiem</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3C45BDE6" w14:textId="60A32C40" w:rsidR="0074554D" w:rsidRPr="00A92F30" w:rsidRDefault="0074554D" w:rsidP="003743C1">
            <w:pPr>
              <w:snapToGrid w:val="0"/>
              <w:jc w:val="right"/>
              <w:rPr>
                <w:rFonts w:eastAsia="Calibri"/>
                <w:szCs w:val="20"/>
              </w:rPr>
            </w:pPr>
            <w:r w:rsidRPr="00A92F30">
              <w:rPr>
                <w:szCs w:val="20"/>
              </w:rPr>
              <w:t>161 333</w:t>
            </w:r>
          </w:p>
        </w:tc>
        <w:tc>
          <w:tcPr>
            <w:tcW w:w="1034" w:type="dxa"/>
            <w:vMerge w:val="restart"/>
            <w:tcBorders>
              <w:top w:val="single" w:sz="4" w:space="0" w:color="000000"/>
              <w:left w:val="single" w:sz="4" w:space="0" w:color="auto"/>
              <w:right w:val="single" w:sz="4" w:space="0" w:color="auto"/>
            </w:tcBorders>
            <w:shd w:val="clear" w:color="auto" w:fill="auto"/>
            <w:vAlign w:val="center"/>
          </w:tcPr>
          <w:p w14:paraId="5A930389" w14:textId="77777777" w:rsidR="0074554D" w:rsidRPr="00A92F30" w:rsidRDefault="0074554D" w:rsidP="003743C1">
            <w:pPr>
              <w:snapToGrid w:val="0"/>
              <w:jc w:val="right"/>
              <w:rPr>
                <w:rFonts w:eastAsia="Calibri"/>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54FB7696" w14:textId="27281C77" w:rsidR="0074554D" w:rsidRPr="00A92F30" w:rsidRDefault="0074554D" w:rsidP="003743C1">
            <w:pPr>
              <w:snapToGrid w:val="0"/>
              <w:jc w:val="right"/>
              <w:rPr>
                <w:rFonts w:eastAsia="Calibri"/>
                <w:szCs w:val="20"/>
              </w:rPr>
            </w:pPr>
            <w:r w:rsidRPr="00A92F30">
              <w:rPr>
                <w:szCs w:val="20"/>
              </w:rPr>
              <w:t>138 533</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5F65F283" w14:textId="096F681C" w:rsidR="0074554D" w:rsidRPr="00A92F30" w:rsidRDefault="0074554D" w:rsidP="003743C1">
            <w:pPr>
              <w:snapToGrid w:val="0"/>
              <w:jc w:val="right"/>
              <w:rPr>
                <w:rFonts w:eastAsia="Calibri"/>
                <w:szCs w:val="20"/>
              </w:rPr>
            </w:pPr>
            <w:r w:rsidRPr="00A92F30">
              <w:rPr>
                <w:szCs w:val="20"/>
              </w:rPr>
              <w:t>123 333</w:t>
            </w:r>
          </w:p>
        </w:tc>
      </w:tr>
      <w:tr w:rsidR="0074554D" w:rsidRPr="00ED5C33" w14:paraId="69DD38B9" w14:textId="77777777" w:rsidTr="003743C1">
        <w:trPr>
          <w:trHeight w:val="229"/>
        </w:trPr>
        <w:tc>
          <w:tcPr>
            <w:tcW w:w="1801" w:type="dxa"/>
            <w:vMerge/>
            <w:tcBorders>
              <w:left w:val="single" w:sz="4" w:space="0" w:color="000000"/>
              <w:right w:val="single" w:sz="4" w:space="0" w:color="auto"/>
            </w:tcBorders>
            <w:shd w:val="clear" w:color="auto" w:fill="auto"/>
          </w:tcPr>
          <w:p w14:paraId="1E037C9F" w14:textId="77777777" w:rsidR="0074554D" w:rsidRPr="00ED5C33" w:rsidRDefault="0074554D">
            <w:pPr>
              <w:rPr>
                <w:sz w:val="28"/>
                <w:szCs w:val="28"/>
              </w:rPr>
            </w:pPr>
          </w:p>
        </w:tc>
        <w:tc>
          <w:tcPr>
            <w:tcW w:w="310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A5B433" w14:textId="2EDA6674" w:rsidR="0074554D" w:rsidRPr="00A92F30" w:rsidRDefault="00C049DC" w:rsidP="00F030D0">
            <w:pPr>
              <w:snapToGrid w:val="0"/>
              <w:jc w:val="both"/>
              <w:rPr>
                <w:rFonts w:eastAsia="Calibri"/>
                <w:szCs w:val="20"/>
              </w:rPr>
            </w:pPr>
            <w:proofErr w:type="spellStart"/>
            <w:r>
              <w:rPr>
                <w:szCs w:val="20"/>
              </w:rPr>
              <w:t>Possesor</w:t>
            </w:r>
            <w:proofErr w:type="spellEnd"/>
            <w:r>
              <w:rPr>
                <w:szCs w:val="20"/>
              </w:rPr>
              <w:t xml:space="preserve"> n</w:t>
            </w:r>
            <w:r w:rsidR="0074554D" w:rsidRPr="00A92F30">
              <w:rPr>
                <w:szCs w:val="20"/>
              </w:rPr>
              <w:t xml:space="preserve">etieši </w:t>
            </w:r>
            <w:r>
              <w:rPr>
                <w:szCs w:val="20"/>
              </w:rPr>
              <w:t xml:space="preserve">deleģētā valsts pārvaldes uzdevuma </w:t>
            </w:r>
            <w:r w:rsidR="0074554D" w:rsidRPr="00A92F30">
              <w:rPr>
                <w:szCs w:val="20"/>
              </w:rPr>
              <w:t>iesaistīto darbinieku darba samaksa ar visiem nodokļiem</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43FEE510" w14:textId="6EE57D32" w:rsidR="0074554D" w:rsidRPr="00A92F30" w:rsidRDefault="0074554D" w:rsidP="003743C1">
            <w:pPr>
              <w:snapToGrid w:val="0"/>
              <w:jc w:val="right"/>
              <w:rPr>
                <w:rFonts w:eastAsia="Calibri"/>
                <w:szCs w:val="20"/>
              </w:rPr>
            </w:pPr>
            <w:r w:rsidRPr="00A92F30">
              <w:rPr>
                <w:szCs w:val="20"/>
              </w:rPr>
              <w:t>169 824</w:t>
            </w:r>
          </w:p>
        </w:tc>
        <w:tc>
          <w:tcPr>
            <w:tcW w:w="1034" w:type="dxa"/>
            <w:vMerge/>
            <w:tcBorders>
              <w:left w:val="single" w:sz="4" w:space="0" w:color="auto"/>
              <w:right w:val="single" w:sz="4" w:space="0" w:color="auto"/>
            </w:tcBorders>
            <w:shd w:val="clear" w:color="auto" w:fill="auto"/>
            <w:vAlign w:val="center"/>
          </w:tcPr>
          <w:p w14:paraId="24A67D2B" w14:textId="77777777" w:rsidR="0074554D" w:rsidRPr="00A92F30" w:rsidRDefault="0074554D" w:rsidP="003743C1">
            <w:pPr>
              <w:snapToGrid w:val="0"/>
              <w:jc w:val="right"/>
              <w:rPr>
                <w:rFonts w:eastAsia="Calibri"/>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221C92BF" w14:textId="48D8B767" w:rsidR="0074554D" w:rsidRPr="00A92F30" w:rsidRDefault="0074554D" w:rsidP="003743C1">
            <w:pPr>
              <w:snapToGrid w:val="0"/>
              <w:jc w:val="right"/>
              <w:rPr>
                <w:rFonts w:eastAsia="Calibri"/>
                <w:szCs w:val="20"/>
              </w:rPr>
            </w:pPr>
            <w:r w:rsidRPr="00A92F30">
              <w:rPr>
                <w:szCs w:val="20"/>
              </w:rPr>
              <w:t>145 824</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3D365EBC" w14:textId="11F9AE2D" w:rsidR="0074554D" w:rsidRPr="00A92F30" w:rsidRDefault="0074554D" w:rsidP="003743C1">
            <w:pPr>
              <w:snapToGrid w:val="0"/>
              <w:jc w:val="right"/>
              <w:rPr>
                <w:rFonts w:eastAsia="Calibri"/>
                <w:szCs w:val="20"/>
              </w:rPr>
            </w:pPr>
            <w:r w:rsidRPr="00A92F30">
              <w:rPr>
                <w:szCs w:val="20"/>
              </w:rPr>
              <w:t>129 824</w:t>
            </w:r>
          </w:p>
        </w:tc>
      </w:tr>
      <w:tr w:rsidR="0074554D" w:rsidRPr="00ED5C33" w14:paraId="0450D9A3" w14:textId="77777777" w:rsidTr="003743C1">
        <w:trPr>
          <w:trHeight w:val="229"/>
        </w:trPr>
        <w:tc>
          <w:tcPr>
            <w:tcW w:w="1801" w:type="dxa"/>
            <w:vMerge/>
            <w:tcBorders>
              <w:left w:val="single" w:sz="4" w:space="0" w:color="000000"/>
              <w:bottom w:val="single" w:sz="4" w:space="0" w:color="000000"/>
              <w:right w:val="single" w:sz="4" w:space="0" w:color="auto"/>
            </w:tcBorders>
            <w:shd w:val="clear" w:color="auto" w:fill="auto"/>
          </w:tcPr>
          <w:p w14:paraId="66D5F6A8" w14:textId="77777777" w:rsidR="0074554D" w:rsidRPr="00ED5C33" w:rsidRDefault="0074554D">
            <w:pPr>
              <w:rPr>
                <w:sz w:val="28"/>
                <w:szCs w:val="28"/>
              </w:rPr>
            </w:pPr>
          </w:p>
        </w:tc>
        <w:tc>
          <w:tcPr>
            <w:tcW w:w="310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214C243" w14:textId="6BAFFC15" w:rsidR="0074554D" w:rsidRPr="00A92F30" w:rsidRDefault="0074554D" w:rsidP="00F030D0">
            <w:pPr>
              <w:snapToGrid w:val="0"/>
              <w:jc w:val="both"/>
              <w:rPr>
                <w:rFonts w:eastAsia="Calibri"/>
                <w:szCs w:val="20"/>
              </w:rPr>
            </w:pPr>
            <w:r w:rsidRPr="00A92F30">
              <w:rPr>
                <w:szCs w:val="20"/>
              </w:rPr>
              <w:t>Citas tiešās un netiešās izmaksas</w:t>
            </w:r>
            <w:r w:rsidR="00C049DC">
              <w:rPr>
                <w:szCs w:val="20"/>
              </w:rPr>
              <w:t>, kas attiecas uz deleģētā valsts pārvaldes uzdevuma izpildi</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tcPr>
          <w:p w14:paraId="316D6DB1" w14:textId="7500E138" w:rsidR="0074554D" w:rsidRPr="00A92F30" w:rsidRDefault="0074554D" w:rsidP="003743C1">
            <w:pPr>
              <w:snapToGrid w:val="0"/>
              <w:jc w:val="right"/>
              <w:rPr>
                <w:rFonts w:eastAsia="Calibri"/>
                <w:szCs w:val="20"/>
              </w:rPr>
            </w:pPr>
            <w:r w:rsidRPr="00A92F30">
              <w:rPr>
                <w:szCs w:val="20"/>
              </w:rPr>
              <w:t>93 403</w:t>
            </w:r>
          </w:p>
        </w:tc>
        <w:tc>
          <w:tcPr>
            <w:tcW w:w="1034" w:type="dxa"/>
            <w:vMerge/>
            <w:tcBorders>
              <w:left w:val="single" w:sz="4" w:space="0" w:color="auto"/>
              <w:bottom w:val="single" w:sz="4" w:space="0" w:color="000000"/>
              <w:right w:val="single" w:sz="4" w:space="0" w:color="auto"/>
            </w:tcBorders>
            <w:shd w:val="clear" w:color="auto" w:fill="auto"/>
            <w:vAlign w:val="center"/>
          </w:tcPr>
          <w:p w14:paraId="4E15E19D" w14:textId="77777777" w:rsidR="0074554D" w:rsidRPr="00A92F30" w:rsidRDefault="0074554D" w:rsidP="003743C1">
            <w:pPr>
              <w:snapToGrid w:val="0"/>
              <w:jc w:val="right"/>
              <w:rPr>
                <w:rFonts w:eastAsia="Calibri"/>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387D145C" w14:textId="3D00D0C5" w:rsidR="0074554D" w:rsidRPr="00A92F30" w:rsidRDefault="0074554D" w:rsidP="003743C1">
            <w:pPr>
              <w:snapToGrid w:val="0"/>
              <w:jc w:val="right"/>
              <w:rPr>
                <w:rFonts w:eastAsia="Calibri"/>
                <w:szCs w:val="20"/>
              </w:rPr>
            </w:pPr>
            <w:r w:rsidRPr="00A92F30">
              <w:rPr>
                <w:szCs w:val="20"/>
              </w:rPr>
              <w:t>80 203</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3182DC79" w14:textId="329BAA13" w:rsidR="0074554D" w:rsidRPr="00A92F30" w:rsidRDefault="0074554D" w:rsidP="003743C1">
            <w:pPr>
              <w:snapToGrid w:val="0"/>
              <w:jc w:val="right"/>
              <w:rPr>
                <w:rFonts w:eastAsia="Calibri"/>
                <w:szCs w:val="20"/>
              </w:rPr>
            </w:pPr>
            <w:r w:rsidRPr="00A92F30">
              <w:rPr>
                <w:szCs w:val="20"/>
              </w:rPr>
              <w:t>71 403</w:t>
            </w:r>
          </w:p>
        </w:tc>
      </w:tr>
      <w:tr w:rsidR="0074554D" w:rsidRPr="00ED5C33" w14:paraId="73A9FFF7" w14:textId="77777777" w:rsidTr="0074554D">
        <w:tc>
          <w:tcPr>
            <w:tcW w:w="1801" w:type="dxa"/>
            <w:tcBorders>
              <w:top w:val="single" w:sz="4" w:space="0" w:color="000000"/>
              <w:left w:val="single" w:sz="4" w:space="0" w:color="000000"/>
              <w:bottom w:val="single" w:sz="4" w:space="0" w:color="000000"/>
            </w:tcBorders>
            <w:shd w:val="clear" w:color="auto" w:fill="auto"/>
          </w:tcPr>
          <w:p w14:paraId="05D1C5BC" w14:textId="77777777" w:rsidR="0074554D" w:rsidRPr="00ED5C33" w:rsidRDefault="0074554D">
            <w:pPr>
              <w:rPr>
                <w:rFonts w:eastAsia="Calibri"/>
                <w:sz w:val="28"/>
                <w:szCs w:val="28"/>
              </w:rPr>
            </w:pPr>
            <w:r w:rsidRPr="00ED5C33">
              <w:rPr>
                <w:sz w:val="28"/>
                <w:szCs w:val="28"/>
              </w:rPr>
              <w:t>7. Amata vietu skaita izmaiņas</w:t>
            </w:r>
          </w:p>
        </w:tc>
        <w:tc>
          <w:tcPr>
            <w:tcW w:w="72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9B6622" w14:textId="77777777" w:rsidR="0074554D" w:rsidRPr="00ED5C33" w:rsidRDefault="0074554D">
            <w:pPr>
              <w:rPr>
                <w:rFonts w:eastAsia="Calibri"/>
                <w:sz w:val="28"/>
                <w:szCs w:val="28"/>
              </w:rPr>
            </w:pPr>
            <w:r w:rsidRPr="00ED5C33">
              <w:rPr>
                <w:rFonts w:eastAsia="Calibri"/>
                <w:sz w:val="28"/>
                <w:szCs w:val="28"/>
              </w:rPr>
              <w:t>Nav izmaiņu</w:t>
            </w:r>
          </w:p>
        </w:tc>
      </w:tr>
      <w:tr w:rsidR="0074554D" w:rsidRPr="00ED5C33" w14:paraId="532673D2" w14:textId="77777777" w:rsidTr="0074554D">
        <w:tc>
          <w:tcPr>
            <w:tcW w:w="1801" w:type="dxa"/>
            <w:tcBorders>
              <w:top w:val="single" w:sz="4" w:space="0" w:color="000000"/>
              <w:left w:val="single" w:sz="4" w:space="0" w:color="000000"/>
              <w:bottom w:val="single" w:sz="4" w:space="0" w:color="000000"/>
            </w:tcBorders>
            <w:shd w:val="clear" w:color="auto" w:fill="auto"/>
          </w:tcPr>
          <w:p w14:paraId="5BCD89DC" w14:textId="77777777" w:rsidR="0074554D" w:rsidRPr="00ED5C33" w:rsidRDefault="0074554D">
            <w:pPr>
              <w:rPr>
                <w:rFonts w:eastAsia="Calibri"/>
                <w:sz w:val="28"/>
                <w:szCs w:val="28"/>
              </w:rPr>
            </w:pPr>
            <w:r w:rsidRPr="00ED5C33">
              <w:rPr>
                <w:sz w:val="28"/>
                <w:szCs w:val="28"/>
              </w:rPr>
              <w:t>8. Cita informācija</w:t>
            </w:r>
          </w:p>
        </w:tc>
        <w:tc>
          <w:tcPr>
            <w:tcW w:w="72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2EA2BF" w14:textId="4725B357" w:rsidR="0074554D" w:rsidRPr="00F030D0" w:rsidRDefault="00232D9F" w:rsidP="00F030D0">
            <w:pPr>
              <w:pStyle w:val="FootnoteText"/>
              <w:spacing w:after="120"/>
              <w:ind w:firstLine="709"/>
              <w:jc w:val="both"/>
              <w:rPr>
                <w:sz w:val="28"/>
                <w:szCs w:val="28"/>
              </w:rPr>
            </w:pPr>
            <w:r>
              <w:rPr>
                <w:rFonts w:eastAsia="Calibri"/>
                <w:sz w:val="28"/>
                <w:szCs w:val="28"/>
              </w:rPr>
              <w:t>Ekonomikas ministrija ir iesniegusi pieteikumu pri</w:t>
            </w:r>
            <w:r w:rsidR="00641E09">
              <w:rPr>
                <w:rFonts w:eastAsia="Calibri"/>
                <w:sz w:val="28"/>
                <w:szCs w:val="28"/>
              </w:rPr>
              <w:t xml:space="preserve">oritāro pasākumu finansēšanai 2020., 2021. un </w:t>
            </w:r>
            <w:r w:rsidR="00641E09" w:rsidRPr="00641E09">
              <w:rPr>
                <w:rFonts w:eastAsia="Calibri"/>
                <w:sz w:val="28"/>
                <w:szCs w:val="28"/>
              </w:rPr>
              <w:t xml:space="preserve">2022.gadam </w:t>
            </w:r>
            <w:proofErr w:type="spellStart"/>
            <w:r w:rsidR="00641E09" w:rsidRPr="00641E09">
              <w:rPr>
                <w:rFonts w:eastAsia="Calibri"/>
                <w:sz w:val="28"/>
                <w:szCs w:val="28"/>
              </w:rPr>
              <w:t>Possessor</w:t>
            </w:r>
            <w:proofErr w:type="spellEnd"/>
            <w:r w:rsidR="00641E09" w:rsidRPr="00641E09">
              <w:rPr>
                <w:rFonts w:eastAsia="Calibri"/>
                <w:sz w:val="28"/>
                <w:szCs w:val="28"/>
              </w:rPr>
              <w:t xml:space="preserve"> deleģēto valsts pārvaldes deleģēto uzdevumu izpildes finansējuma nodrošināšanai, t.sk. </w:t>
            </w:r>
            <w:r w:rsidR="00641E09" w:rsidRPr="00F030D0">
              <w:rPr>
                <w:sz w:val="28"/>
                <w:szCs w:val="28"/>
              </w:rPr>
              <w:t>valsts dzīvojamo māju privatizāciju veicošās institūcijas pārvaldes uzdevuma</w:t>
            </w:r>
            <w:r w:rsidR="00641E09">
              <w:rPr>
                <w:sz w:val="28"/>
                <w:szCs w:val="28"/>
              </w:rPr>
              <w:t xml:space="preserve"> izpildei. Attiecīgi Ministru kabinetam ir jāpieņem lēmums par šī pasākuma atbalstīšanu. Ja Ministru kabineta neatbalsta </w:t>
            </w:r>
            <w:r w:rsidR="00810B11">
              <w:rPr>
                <w:sz w:val="28"/>
                <w:szCs w:val="28"/>
              </w:rPr>
              <w:t xml:space="preserve">finansējuma piešķiršanu deleģētā valsts pārvaldes uzdevuma izpildes finansēšanai, tad </w:t>
            </w:r>
            <w:r w:rsidR="00810B11" w:rsidRPr="00E228E8">
              <w:rPr>
                <w:sz w:val="28"/>
                <w:szCs w:val="28"/>
              </w:rPr>
              <w:t>izdevumi tiek segti no rezerves fonda</w:t>
            </w:r>
            <w:r w:rsidR="00810B11">
              <w:rPr>
                <w:sz w:val="28"/>
                <w:szCs w:val="28"/>
              </w:rPr>
              <w:t>.</w:t>
            </w:r>
            <w:r w:rsidR="00810B11" w:rsidRPr="00E228E8">
              <w:rPr>
                <w:sz w:val="28"/>
                <w:szCs w:val="28"/>
              </w:rPr>
              <w:t xml:space="preserve"> </w:t>
            </w:r>
            <w:r w:rsidR="00810B11">
              <w:rPr>
                <w:sz w:val="28"/>
                <w:szCs w:val="28"/>
              </w:rPr>
              <w:t xml:space="preserve">Savukārt, </w:t>
            </w:r>
            <w:r w:rsidR="00810B11" w:rsidRPr="00E228E8">
              <w:rPr>
                <w:sz w:val="28"/>
                <w:szCs w:val="28"/>
              </w:rPr>
              <w:t xml:space="preserve">ja ar valsts pārvaldes uzdevuma veikšanu saistītie izdevumi </w:t>
            </w:r>
            <w:r w:rsidR="00810B11">
              <w:rPr>
                <w:sz w:val="28"/>
                <w:szCs w:val="28"/>
              </w:rPr>
              <w:t xml:space="preserve">ir </w:t>
            </w:r>
            <w:r w:rsidR="00810B11" w:rsidRPr="00E228E8">
              <w:rPr>
                <w:sz w:val="28"/>
                <w:szCs w:val="28"/>
              </w:rPr>
              <w:t>segti no rezerves fonda</w:t>
            </w:r>
            <w:r w:rsidR="00810B11">
              <w:rPr>
                <w:sz w:val="28"/>
                <w:szCs w:val="28"/>
              </w:rPr>
              <w:t xml:space="preserve"> un ja attiecīgajam gadam valsts budžetā tam nav paredzēts finansējums</w:t>
            </w:r>
            <w:r w:rsidR="00810B11" w:rsidRPr="00E228E8">
              <w:rPr>
                <w:sz w:val="28"/>
                <w:szCs w:val="28"/>
              </w:rPr>
              <w:t>,</w:t>
            </w:r>
            <w:r w:rsidR="00810B11">
              <w:rPr>
                <w:sz w:val="28"/>
                <w:szCs w:val="28"/>
              </w:rPr>
              <w:t xml:space="preserve"> tad</w:t>
            </w:r>
            <w:r w:rsidR="00810B11" w:rsidRPr="00E228E8">
              <w:rPr>
                <w:sz w:val="28"/>
                <w:szCs w:val="28"/>
              </w:rPr>
              <w:t xml:space="preserve"> pirms </w:t>
            </w:r>
            <w:r w:rsidR="00810B11" w:rsidRPr="00E228E8">
              <w:rPr>
                <w:sz w:val="28"/>
                <w:szCs w:val="28"/>
              </w:rPr>
              <w:lastRenderedPageBreak/>
              <w:t>privatizācijas ieņēmumu pārskaitīšanas valsts budžetā</w:t>
            </w:r>
            <w:r w:rsidR="00810B11">
              <w:rPr>
                <w:sz w:val="28"/>
                <w:szCs w:val="28"/>
              </w:rPr>
              <w:t xml:space="preserve">, </w:t>
            </w:r>
            <w:proofErr w:type="spellStart"/>
            <w:r w:rsidR="00810B11">
              <w:rPr>
                <w:sz w:val="28"/>
                <w:szCs w:val="28"/>
              </w:rPr>
              <w:t>Possesor</w:t>
            </w:r>
            <w:proofErr w:type="spellEnd"/>
            <w:r w:rsidR="00810B11" w:rsidRPr="00E228E8">
              <w:rPr>
                <w:sz w:val="28"/>
                <w:szCs w:val="28"/>
              </w:rPr>
              <w:t xml:space="preserve"> rezerves fondā atgrie</w:t>
            </w:r>
            <w:r w:rsidR="00810B11">
              <w:rPr>
                <w:sz w:val="28"/>
                <w:szCs w:val="28"/>
              </w:rPr>
              <w:t>ž</w:t>
            </w:r>
            <w:r w:rsidR="00810B11" w:rsidRPr="00E228E8">
              <w:rPr>
                <w:sz w:val="28"/>
                <w:szCs w:val="28"/>
              </w:rPr>
              <w:t xml:space="preserve"> no tā saņemt</w:t>
            </w:r>
            <w:r w:rsidR="00810B11">
              <w:rPr>
                <w:sz w:val="28"/>
                <w:szCs w:val="28"/>
              </w:rPr>
              <w:t>os</w:t>
            </w:r>
            <w:r w:rsidR="00810B11" w:rsidRPr="00E228E8">
              <w:rPr>
                <w:sz w:val="28"/>
                <w:szCs w:val="28"/>
              </w:rPr>
              <w:t xml:space="preserve"> līdzekļ</w:t>
            </w:r>
            <w:r w:rsidR="00810B11">
              <w:rPr>
                <w:sz w:val="28"/>
                <w:szCs w:val="28"/>
              </w:rPr>
              <w:t>us</w:t>
            </w:r>
            <w:r w:rsidR="00810B11" w:rsidRPr="00E228E8">
              <w:rPr>
                <w:sz w:val="28"/>
                <w:szCs w:val="28"/>
              </w:rPr>
              <w:t>.</w:t>
            </w:r>
          </w:p>
        </w:tc>
      </w:tr>
    </w:tbl>
    <w:p w14:paraId="053611A4" w14:textId="77777777" w:rsidR="00AC3066" w:rsidRPr="00ED5C33" w:rsidRDefault="00AC3066">
      <w:pPr>
        <w:contextualSpacing/>
        <w:rPr>
          <w:sz w:val="28"/>
          <w:szCs w:val="28"/>
          <w:highlight w:val="yellow"/>
        </w:rPr>
      </w:pPr>
    </w:p>
    <w:tbl>
      <w:tblPr>
        <w:tblW w:w="4850" w:type="pct"/>
        <w:tblLook w:val="0000" w:firstRow="0" w:lastRow="0" w:firstColumn="0" w:lastColumn="0" w:noHBand="0" w:noVBand="0"/>
      </w:tblPr>
      <w:tblGrid>
        <w:gridCol w:w="426"/>
        <w:gridCol w:w="2310"/>
        <w:gridCol w:w="6053"/>
      </w:tblGrid>
      <w:tr w:rsidR="00AC3066" w:rsidRPr="00ED5C33" w14:paraId="2EF947B8" w14:textId="77777777">
        <w:trPr>
          <w:trHeight w:val="450"/>
        </w:trPr>
        <w:tc>
          <w:tcPr>
            <w:tcW w:w="8798" w:type="dxa"/>
            <w:gridSpan w:val="3"/>
            <w:tcBorders>
              <w:top w:val="single" w:sz="4" w:space="0" w:color="000000"/>
              <w:left w:val="single" w:sz="4" w:space="0" w:color="000000"/>
              <w:bottom w:val="single" w:sz="4" w:space="0" w:color="000000"/>
              <w:right w:val="single" w:sz="4" w:space="0" w:color="000000"/>
            </w:tcBorders>
            <w:shd w:val="clear" w:color="auto" w:fill="auto"/>
          </w:tcPr>
          <w:p w14:paraId="064F6599" w14:textId="77777777" w:rsidR="00AC3066" w:rsidRPr="00ED5C33" w:rsidRDefault="00DE655A">
            <w:pPr>
              <w:ind w:left="57" w:right="57"/>
              <w:contextualSpacing/>
              <w:jc w:val="center"/>
              <w:rPr>
                <w:b/>
                <w:sz w:val="28"/>
                <w:szCs w:val="28"/>
              </w:rPr>
            </w:pPr>
            <w:r w:rsidRPr="00ED5C33">
              <w:rPr>
                <w:b/>
                <w:sz w:val="28"/>
                <w:szCs w:val="28"/>
              </w:rPr>
              <w:t>IV. Tiesību akta projekta ietekme uz spēkā esošo tiesību normu sistēmu</w:t>
            </w:r>
          </w:p>
        </w:tc>
      </w:tr>
      <w:tr w:rsidR="00AC3066" w:rsidRPr="00ED5C33" w14:paraId="68903D05" w14:textId="77777777">
        <w:tc>
          <w:tcPr>
            <w:tcW w:w="412" w:type="dxa"/>
            <w:tcBorders>
              <w:top w:val="single" w:sz="4" w:space="0" w:color="000000"/>
              <w:left w:val="single" w:sz="4" w:space="0" w:color="000000"/>
              <w:bottom w:val="single" w:sz="4" w:space="0" w:color="000000"/>
            </w:tcBorders>
            <w:shd w:val="clear" w:color="auto" w:fill="auto"/>
          </w:tcPr>
          <w:p w14:paraId="2C412CF8" w14:textId="77777777" w:rsidR="00AC3066" w:rsidRPr="00ED5C33" w:rsidRDefault="00DE655A">
            <w:pPr>
              <w:contextualSpacing/>
              <w:rPr>
                <w:sz w:val="28"/>
                <w:szCs w:val="28"/>
              </w:rPr>
            </w:pPr>
            <w:r w:rsidRPr="00ED5C33">
              <w:rPr>
                <w:sz w:val="28"/>
                <w:szCs w:val="28"/>
              </w:rPr>
              <w:t>1.</w:t>
            </w:r>
          </w:p>
        </w:tc>
        <w:tc>
          <w:tcPr>
            <w:tcW w:w="2314" w:type="dxa"/>
            <w:tcBorders>
              <w:top w:val="single" w:sz="4" w:space="0" w:color="000000"/>
              <w:left w:val="single" w:sz="4" w:space="0" w:color="000000"/>
              <w:bottom w:val="single" w:sz="4" w:space="0" w:color="000000"/>
            </w:tcBorders>
            <w:shd w:val="clear" w:color="auto" w:fill="auto"/>
          </w:tcPr>
          <w:p w14:paraId="5B66F8BD" w14:textId="77777777" w:rsidR="00AC3066" w:rsidRPr="00ED5C33" w:rsidRDefault="00DE655A">
            <w:pPr>
              <w:contextualSpacing/>
              <w:rPr>
                <w:sz w:val="28"/>
                <w:szCs w:val="28"/>
              </w:rPr>
            </w:pPr>
            <w:r w:rsidRPr="00ED5C33">
              <w:rPr>
                <w:sz w:val="28"/>
                <w:szCs w:val="28"/>
              </w:rPr>
              <w:t>Saistītie tiesību aktu projekti</w:t>
            </w:r>
          </w:p>
        </w:tc>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186151EA" w14:textId="77777777" w:rsidR="00AC3066" w:rsidRPr="00ED5C33" w:rsidRDefault="00DE655A">
            <w:pPr>
              <w:contextualSpacing/>
              <w:jc w:val="both"/>
              <w:rPr>
                <w:iCs/>
                <w:sz w:val="28"/>
                <w:szCs w:val="28"/>
              </w:rPr>
            </w:pPr>
            <w:r w:rsidRPr="00ED5C33">
              <w:rPr>
                <w:iCs/>
                <w:sz w:val="28"/>
                <w:szCs w:val="28"/>
              </w:rPr>
              <w:t>Nav</w:t>
            </w:r>
          </w:p>
        </w:tc>
      </w:tr>
      <w:tr w:rsidR="00AC3066" w:rsidRPr="00ED5C33" w14:paraId="0C373343" w14:textId="77777777">
        <w:tc>
          <w:tcPr>
            <w:tcW w:w="412" w:type="dxa"/>
            <w:tcBorders>
              <w:top w:val="single" w:sz="4" w:space="0" w:color="000000"/>
              <w:left w:val="single" w:sz="4" w:space="0" w:color="000000"/>
              <w:bottom w:val="single" w:sz="4" w:space="0" w:color="000000"/>
            </w:tcBorders>
            <w:shd w:val="clear" w:color="auto" w:fill="auto"/>
          </w:tcPr>
          <w:p w14:paraId="0081DFCF" w14:textId="77777777" w:rsidR="00AC3066" w:rsidRPr="00ED5C33" w:rsidRDefault="00DE655A">
            <w:pPr>
              <w:contextualSpacing/>
              <w:rPr>
                <w:sz w:val="28"/>
                <w:szCs w:val="28"/>
              </w:rPr>
            </w:pPr>
            <w:r w:rsidRPr="00ED5C33">
              <w:rPr>
                <w:sz w:val="28"/>
                <w:szCs w:val="28"/>
              </w:rPr>
              <w:t>2.</w:t>
            </w:r>
          </w:p>
        </w:tc>
        <w:tc>
          <w:tcPr>
            <w:tcW w:w="2314" w:type="dxa"/>
            <w:tcBorders>
              <w:top w:val="single" w:sz="4" w:space="0" w:color="000000"/>
              <w:left w:val="single" w:sz="4" w:space="0" w:color="000000"/>
              <w:bottom w:val="single" w:sz="4" w:space="0" w:color="000000"/>
            </w:tcBorders>
            <w:shd w:val="clear" w:color="auto" w:fill="auto"/>
          </w:tcPr>
          <w:p w14:paraId="1173A666" w14:textId="77777777" w:rsidR="00AC3066" w:rsidRPr="00ED5C33" w:rsidRDefault="00DE655A">
            <w:pPr>
              <w:contextualSpacing/>
              <w:rPr>
                <w:sz w:val="28"/>
                <w:szCs w:val="28"/>
              </w:rPr>
            </w:pPr>
            <w:r w:rsidRPr="00ED5C33">
              <w:rPr>
                <w:sz w:val="28"/>
                <w:szCs w:val="28"/>
              </w:rPr>
              <w:t>Atbildīgā institūcija</w:t>
            </w:r>
          </w:p>
        </w:tc>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1CC35240" w14:textId="77777777" w:rsidR="00AC3066" w:rsidRPr="00ED5C33" w:rsidRDefault="00DE655A">
            <w:pPr>
              <w:contextualSpacing/>
              <w:rPr>
                <w:sz w:val="28"/>
                <w:szCs w:val="28"/>
                <w:highlight w:val="yellow"/>
              </w:rPr>
            </w:pPr>
            <w:r w:rsidRPr="00ED5C33">
              <w:rPr>
                <w:sz w:val="28"/>
                <w:szCs w:val="28"/>
              </w:rPr>
              <w:t>Ekonomikas ministrija</w:t>
            </w:r>
          </w:p>
        </w:tc>
      </w:tr>
      <w:tr w:rsidR="00AC3066" w:rsidRPr="00ED5C33" w14:paraId="33EB535A" w14:textId="77777777">
        <w:tc>
          <w:tcPr>
            <w:tcW w:w="412" w:type="dxa"/>
            <w:tcBorders>
              <w:top w:val="single" w:sz="4" w:space="0" w:color="000000"/>
              <w:left w:val="single" w:sz="4" w:space="0" w:color="000000"/>
              <w:bottom w:val="single" w:sz="4" w:space="0" w:color="000000"/>
            </w:tcBorders>
            <w:shd w:val="clear" w:color="auto" w:fill="auto"/>
          </w:tcPr>
          <w:p w14:paraId="3CB6508B" w14:textId="77777777" w:rsidR="00AC3066" w:rsidRPr="00ED5C33" w:rsidRDefault="00DE655A">
            <w:pPr>
              <w:contextualSpacing/>
              <w:rPr>
                <w:sz w:val="28"/>
                <w:szCs w:val="28"/>
              </w:rPr>
            </w:pPr>
            <w:r w:rsidRPr="00ED5C33">
              <w:rPr>
                <w:sz w:val="28"/>
                <w:szCs w:val="28"/>
              </w:rPr>
              <w:t>3.</w:t>
            </w:r>
          </w:p>
        </w:tc>
        <w:tc>
          <w:tcPr>
            <w:tcW w:w="2314" w:type="dxa"/>
            <w:tcBorders>
              <w:top w:val="single" w:sz="4" w:space="0" w:color="000000"/>
              <w:left w:val="single" w:sz="4" w:space="0" w:color="000000"/>
              <w:bottom w:val="single" w:sz="4" w:space="0" w:color="000000"/>
            </w:tcBorders>
            <w:shd w:val="clear" w:color="auto" w:fill="auto"/>
          </w:tcPr>
          <w:p w14:paraId="393CB35C" w14:textId="77777777" w:rsidR="00AC3066" w:rsidRPr="00ED5C33" w:rsidRDefault="00DE655A">
            <w:pPr>
              <w:contextualSpacing/>
              <w:rPr>
                <w:sz w:val="28"/>
                <w:szCs w:val="28"/>
              </w:rPr>
            </w:pPr>
            <w:r w:rsidRPr="00ED5C33">
              <w:rPr>
                <w:sz w:val="28"/>
                <w:szCs w:val="28"/>
              </w:rPr>
              <w:t>Cita informācija</w:t>
            </w:r>
          </w:p>
        </w:tc>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68B99DE5" w14:textId="77777777" w:rsidR="00AC3066" w:rsidRPr="00ED5C33" w:rsidRDefault="00DE655A">
            <w:pPr>
              <w:contextualSpacing/>
              <w:rPr>
                <w:sz w:val="28"/>
                <w:szCs w:val="28"/>
              </w:rPr>
            </w:pPr>
            <w:r w:rsidRPr="00ED5C33">
              <w:rPr>
                <w:sz w:val="28"/>
                <w:szCs w:val="28"/>
              </w:rPr>
              <w:t>Nav</w:t>
            </w:r>
          </w:p>
        </w:tc>
      </w:tr>
    </w:tbl>
    <w:p w14:paraId="65E97285" w14:textId="77777777" w:rsidR="00AC3066" w:rsidRPr="00ED5C33" w:rsidRDefault="00AC3066">
      <w:pPr>
        <w:contextualSpacing/>
        <w:rPr>
          <w:sz w:val="28"/>
          <w:szCs w:val="28"/>
          <w:highlight w:val="yellow"/>
        </w:rPr>
      </w:pPr>
    </w:p>
    <w:tbl>
      <w:tblPr>
        <w:tblW w:w="4850" w:type="pct"/>
        <w:tblLook w:val="0000" w:firstRow="0" w:lastRow="0" w:firstColumn="0" w:lastColumn="0" w:noHBand="0" w:noVBand="0"/>
      </w:tblPr>
      <w:tblGrid>
        <w:gridCol w:w="8789"/>
      </w:tblGrid>
      <w:tr w:rsidR="00AC3066" w:rsidRPr="00ED5C33" w14:paraId="3F9E7483"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Pr>
          <w:p w14:paraId="47DB3574" w14:textId="77777777" w:rsidR="00AC3066" w:rsidRPr="00ED5C33" w:rsidRDefault="00DE655A">
            <w:pPr>
              <w:ind w:firstLine="300"/>
              <w:contextualSpacing/>
              <w:jc w:val="center"/>
              <w:rPr>
                <w:b/>
                <w:bCs/>
                <w:sz w:val="28"/>
                <w:szCs w:val="28"/>
              </w:rPr>
            </w:pPr>
            <w:r w:rsidRPr="00ED5C33">
              <w:rPr>
                <w:b/>
                <w:bCs/>
                <w:sz w:val="28"/>
                <w:szCs w:val="28"/>
              </w:rPr>
              <w:t>V. Tiesību akta projekta atbilstība Latvijas Republikas starptautiskajām saistībām</w:t>
            </w:r>
          </w:p>
        </w:tc>
      </w:tr>
      <w:tr w:rsidR="00AC3066" w:rsidRPr="00ED5C33" w14:paraId="44BA3F4E"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Pr>
          <w:p w14:paraId="3CE8A978" w14:textId="77777777" w:rsidR="00AC3066" w:rsidRPr="00ED5C33" w:rsidRDefault="00DE655A">
            <w:pPr>
              <w:contextualSpacing/>
              <w:jc w:val="center"/>
              <w:rPr>
                <w:sz w:val="28"/>
                <w:szCs w:val="28"/>
              </w:rPr>
            </w:pPr>
            <w:bookmarkStart w:id="4" w:name="_Hlk1411576"/>
            <w:bookmarkEnd w:id="4"/>
            <w:r w:rsidRPr="00ED5C33">
              <w:rPr>
                <w:sz w:val="28"/>
                <w:szCs w:val="28"/>
              </w:rPr>
              <w:t>Projekts šo jomu neskar</w:t>
            </w:r>
          </w:p>
        </w:tc>
      </w:tr>
    </w:tbl>
    <w:p w14:paraId="381B5D97" w14:textId="77777777" w:rsidR="00AC3066" w:rsidRPr="00ED5C33" w:rsidRDefault="00AC3066">
      <w:pPr>
        <w:contextualSpacing/>
        <w:rPr>
          <w:sz w:val="28"/>
          <w:szCs w:val="28"/>
          <w:highlight w:val="yellow"/>
        </w:rPr>
      </w:pPr>
    </w:p>
    <w:tbl>
      <w:tblPr>
        <w:tblW w:w="9095" w:type="dxa"/>
        <w:tblLook w:val="0000" w:firstRow="0" w:lastRow="0" w:firstColumn="0" w:lastColumn="0" w:noHBand="0" w:noVBand="0"/>
      </w:tblPr>
      <w:tblGrid>
        <w:gridCol w:w="9095"/>
      </w:tblGrid>
      <w:tr w:rsidR="00AC3066" w:rsidRPr="00ED5C33" w14:paraId="5F5474F2" w14:textId="77777777">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0CE243EC" w14:textId="77777777" w:rsidR="00AC3066" w:rsidRPr="00ED5C33" w:rsidRDefault="00DE655A">
            <w:pPr>
              <w:ind w:left="57" w:right="57"/>
              <w:contextualSpacing/>
              <w:jc w:val="center"/>
              <w:rPr>
                <w:b/>
                <w:sz w:val="28"/>
                <w:szCs w:val="28"/>
              </w:rPr>
            </w:pPr>
            <w:r w:rsidRPr="00ED5C33">
              <w:rPr>
                <w:b/>
                <w:sz w:val="28"/>
                <w:szCs w:val="28"/>
              </w:rPr>
              <w:t>VI. Sabiedrības līdzdalība un komunikācijas aktivitātes</w:t>
            </w:r>
          </w:p>
        </w:tc>
      </w:tr>
      <w:tr w:rsidR="00AC3066" w:rsidRPr="00ED5C33" w14:paraId="09168EB0" w14:textId="77777777">
        <w:tc>
          <w:tcPr>
            <w:tcW w:w="9095" w:type="dxa"/>
            <w:tcBorders>
              <w:top w:val="single" w:sz="4" w:space="0" w:color="000000"/>
              <w:left w:val="single" w:sz="4" w:space="0" w:color="000000"/>
              <w:bottom w:val="single" w:sz="4" w:space="0" w:color="000000"/>
              <w:right w:val="single" w:sz="4" w:space="0" w:color="000000"/>
            </w:tcBorders>
            <w:shd w:val="clear" w:color="auto" w:fill="auto"/>
          </w:tcPr>
          <w:p w14:paraId="46175B4E" w14:textId="77777777" w:rsidR="00AC3066" w:rsidRPr="00ED5C33" w:rsidRDefault="00DE655A">
            <w:pPr>
              <w:contextualSpacing/>
              <w:jc w:val="center"/>
              <w:rPr>
                <w:sz w:val="28"/>
                <w:szCs w:val="28"/>
              </w:rPr>
            </w:pPr>
            <w:r w:rsidRPr="00ED5C33">
              <w:rPr>
                <w:sz w:val="28"/>
                <w:szCs w:val="28"/>
              </w:rPr>
              <w:t>Projekts šo jomu neskar</w:t>
            </w:r>
          </w:p>
        </w:tc>
      </w:tr>
    </w:tbl>
    <w:p w14:paraId="416CB720" w14:textId="77777777" w:rsidR="00AC3066" w:rsidRPr="00ED5C33" w:rsidRDefault="00AC3066">
      <w:pPr>
        <w:contextualSpacing/>
        <w:rPr>
          <w:sz w:val="28"/>
          <w:szCs w:val="28"/>
          <w:highlight w:val="yellow"/>
        </w:rPr>
      </w:pPr>
    </w:p>
    <w:tbl>
      <w:tblPr>
        <w:tblW w:w="9110" w:type="dxa"/>
        <w:tblInd w:w="-33" w:type="dxa"/>
        <w:tblCellMar>
          <w:top w:w="28" w:type="dxa"/>
          <w:left w:w="28" w:type="dxa"/>
          <w:bottom w:w="28" w:type="dxa"/>
          <w:right w:w="28" w:type="dxa"/>
        </w:tblCellMar>
        <w:tblLook w:val="0000" w:firstRow="0" w:lastRow="0" w:firstColumn="0" w:lastColumn="0" w:noHBand="0" w:noVBand="0"/>
      </w:tblPr>
      <w:tblGrid>
        <w:gridCol w:w="399"/>
        <w:gridCol w:w="2748"/>
        <w:gridCol w:w="5963"/>
      </w:tblGrid>
      <w:tr w:rsidR="00AC3066" w:rsidRPr="00ED5C33" w14:paraId="39A48518" w14:textId="77777777">
        <w:trPr>
          <w:trHeight w:val="381"/>
        </w:trPr>
        <w:tc>
          <w:tcPr>
            <w:tcW w:w="9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A2184" w14:textId="77777777" w:rsidR="00AC3066" w:rsidRPr="00ED5C33" w:rsidRDefault="00DE655A">
            <w:pPr>
              <w:ind w:left="57" w:right="57"/>
              <w:contextualSpacing/>
              <w:jc w:val="center"/>
              <w:rPr>
                <w:sz w:val="28"/>
                <w:szCs w:val="28"/>
              </w:rPr>
            </w:pPr>
            <w:r w:rsidRPr="00ED5C33">
              <w:rPr>
                <w:b/>
                <w:sz w:val="28"/>
                <w:szCs w:val="28"/>
              </w:rPr>
              <w:t>VII. Tiesību akta projekta izpildes nodrošināšana un tās ietekme uz institūcijām</w:t>
            </w:r>
          </w:p>
        </w:tc>
      </w:tr>
      <w:tr w:rsidR="00AC3066" w:rsidRPr="00ED5C33" w14:paraId="5EC39B93" w14:textId="77777777">
        <w:trPr>
          <w:trHeight w:val="427"/>
        </w:trPr>
        <w:tc>
          <w:tcPr>
            <w:tcW w:w="399" w:type="dxa"/>
            <w:tcBorders>
              <w:top w:val="single" w:sz="4" w:space="0" w:color="000000"/>
              <w:left w:val="single" w:sz="4" w:space="0" w:color="000000"/>
              <w:bottom w:val="single" w:sz="4" w:space="0" w:color="000000"/>
            </w:tcBorders>
            <w:shd w:val="clear" w:color="auto" w:fill="auto"/>
          </w:tcPr>
          <w:p w14:paraId="7792AFC7" w14:textId="77777777" w:rsidR="00AC3066" w:rsidRPr="00ED5C33" w:rsidRDefault="00DE655A">
            <w:pPr>
              <w:ind w:left="57" w:right="57"/>
              <w:contextualSpacing/>
              <w:jc w:val="both"/>
              <w:rPr>
                <w:sz w:val="28"/>
                <w:szCs w:val="28"/>
              </w:rPr>
            </w:pPr>
            <w:r w:rsidRPr="00ED5C33">
              <w:rPr>
                <w:sz w:val="28"/>
                <w:szCs w:val="28"/>
              </w:rPr>
              <w:t>1.</w:t>
            </w:r>
          </w:p>
        </w:tc>
        <w:tc>
          <w:tcPr>
            <w:tcW w:w="2748" w:type="dxa"/>
            <w:tcBorders>
              <w:top w:val="single" w:sz="4" w:space="0" w:color="000000"/>
              <w:left w:val="single" w:sz="4" w:space="0" w:color="000000"/>
              <w:bottom w:val="single" w:sz="4" w:space="0" w:color="000000"/>
            </w:tcBorders>
            <w:shd w:val="clear" w:color="auto" w:fill="auto"/>
          </w:tcPr>
          <w:p w14:paraId="516E4FC4" w14:textId="77777777" w:rsidR="00AC3066" w:rsidRPr="00ED5C33" w:rsidRDefault="00DE655A">
            <w:pPr>
              <w:ind w:left="57" w:right="57"/>
              <w:contextualSpacing/>
              <w:rPr>
                <w:sz w:val="28"/>
                <w:szCs w:val="28"/>
              </w:rPr>
            </w:pPr>
            <w:r w:rsidRPr="00ED5C33">
              <w:rPr>
                <w:sz w:val="28"/>
                <w:szCs w:val="28"/>
              </w:rPr>
              <w:t>Projekta izpildē iesaistītās institūcijas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FF6F064" w14:textId="77777777" w:rsidR="00AC3066" w:rsidRPr="00ED5C33" w:rsidRDefault="00DE655A" w:rsidP="00196872">
            <w:pPr>
              <w:pStyle w:val="FootnoteText"/>
              <w:spacing w:after="120"/>
              <w:ind w:firstLine="709"/>
              <w:jc w:val="both"/>
              <w:rPr>
                <w:sz w:val="28"/>
                <w:szCs w:val="28"/>
              </w:rPr>
            </w:pPr>
            <w:bookmarkStart w:id="5" w:name="p69"/>
            <w:bookmarkStart w:id="6" w:name="p68"/>
            <w:bookmarkStart w:id="7" w:name="p67"/>
            <w:bookmarkStart w:id="8" w:name="p66"/>
            <w:bookmarkEnd w:id="5"/>
            <w:bookmarkEnd w:id="6"/>
            <w:bookmarkEnd w:id="7"/>
            <w:bookmarkEnd w:id="8"/>
            <w:r w:rsidRPr="00ED5C33">
              <w:rPr>
                <w:sz w:val="28"/>
                <w:szCs w:val="28"/>
              </w:rPr>
              <w:t xml:space="preserve">Ekonomikas ministrija; </w:t>
            </w:r>
            <w:proofErr w:type="spellStart"/>
            <w:r w:rsidRPr="00ED5C33">
              <w:rPr>
                <w:sz w:val="28"/>
                <w:szCs w:val="28"/>
              </w:rPr>
              <w:t>Possessor</w:t>
            </w:r>
            <w:proofErr w:type="spellEnd"/>
          </w:p>
          <w:p w14:paraId="0F70EC2C" w14:textId="77777777" w:rsidR="00AC3066" w:rsidRPr="00ED5C33" w:rsidRDefault="00DE655A" w:rsidP="00196872">
            <w:pPr>
              <w:pStyle w:val="FootnoteText"/>
              <w:spacing w:after="120"/>
              <w:ind w:firstLine="709"/>
              <w:jc w:val="both"/>
              <w:rPr>
                <w:sz w:val="28"/>
                <w:szCs w:val="28"/>
              </w:rPr>
            </w:pPr>
            <w:r w:rsidRPr="00ED5C33">
              <w:rPr>
                <w:sz w:val="28"/>
                <w:szCs w:val="28"/>
              </w:rPr>
              <w:t>Saskaņā ar Ministru kabineta noteikumu projekta 5.punktu valsts vārdā līgumu par valsts pārvaldes uzdevuma veikšanu ir pilnvarota parakstīt Ekonomikas ministrija, kas arī uzrauga valsts pārvaldes uzdevuma veikšanu.</w:t>
            </w:r>
          </w:p>
          <w:p w14:paraId="7A20FE2A" w14:textId="77777777" w:rsidR="00AC3066" w:rsidRPr="00ED5C33" w:rsidRDefault="00DE655A" w:rsidP="00196872">
            <w:pPr>
              <w:pStyle w:val="FootnoteText"/>
              <w:spacing w:after="120"/>
              <w:ind w:firstLine="709"/>
              <w:jc w:val="both"/>
              <w:rPr>
                <w:sz w:val="28"/>
                <w:szCs w:val="28"/>
              </w:rPr>
            </w:pPr>
            <w:r w:rsidRPr="00ED5C33">
              <w:rPr>
                <w:sz w:val="28"/>
                <w:szCs w:val="28"/>
              </w:rPr>
              <w:t xml:space="preserve">Gadījumā, ja </w:t>
            </w:r>
            <w:proofErr w:type="spellStart"/>
            <w:r w:rsidRPr="00ED5C33">
              <w:rPr>
                <w:sz w:val="28"/>
                <w:szCs w:val="28"/>
              </w:rPr>
              <w:t>Possessor</w:t>
            </w:r>
            <w:proofErr w:type="spellEnd"/>
            <w:r w:rsidRPr="00ED5C33">
              <w:rPr>
                <w:sz w:val="28"/>
                <w:szCs w:val="28"/>
              </w:rPr>
              <w:t xml:space="preserve"> atkāpsies no valsts pārvaldes uzdevuma veikšanas, Ekonomikas ministrija saskaņā ar Ministru kabineta noteikumu projekta 1</w:t>
            </w:r>
            <w:r w:rsidR="00863990" w:rsidRPr="00ED5C33">
              <w:rPr>
                <w:sz w:val="28"/>
                <w:szCs w:val="28"/>
              </w:rPr>
              <w:t>0</w:t>
            </w:r>
            <w:r w:rsidRPr="00ED5C33">
              <w:rPr>
                <w:sz w:val="28"/>
                <w:szCs w:val="28"/>
              </w:rPr>
              <w:t xml:space="preserve">.punktu iesniegs priekšlikumu par valsts pārvaldes uzdevuma deleģēšanu citai privātpersonai vai valsts pārvaldes iestādei. </w:t>
            </w:r>
          </w:p>
        </w:tc>
      </w:tr>
      <w:tr w:rsidR="00AC3066" w:rsidRPr="00ED5C33" w14:paraId="54E75830" w14:textId="77777777">
        <w:trPr>
          <w:trHeight w:val="463"/>
        </w:trPr>
        <w:tc>
          <w:tcPr>
            <w:tcW w:w="399" w:type="dxa"/>
            <w:tcBorders>
              <w:top w:val="single" w:sz="4" w:space="0" w:color="000000"/>
              <w:left w:val="single" w:sz="4" w:space="0" w:color="000000"/>
              <w:bottom w:val="single" w:sz="4" w:space="0" w:color="000000"/>
            </w:tcBorders>
            <w:shd w:val="clear" w:color="auto" w:fill="auto"/>
          </w:tcPr>
          <w:p w14:paraId="11343C3C" w14:textId="77777777" w:rsidR="00AC3066" w:rsidRPr="00ED5C33" w:rsidRDefault="00DE655A">
            <w:pPr>
              <w:ind w:left="57" w:right="57"/>
              <w:contextualSpacing/>
              <w:jc w:val="both"/>
              <w:rPr>
                <w:sz w:val="28"/>
                <w:szCs w:val="28"/>
              </w:rPr>
            </w:pPr>
            <w:r w:rsidRPr="00ED5C33">
              <w:rPr>
                <w:sz w:val="28"/>
                <w:szCs w:val="28"/>
              </w:rPr>
              <w:t>2.</w:t>
            </w:r>
          </w:p>
        </w:tc>
        <w:tc>
          <w:tcPr>
            <w:tcW w:w="2748" w:type="dxa"/>
            <w:tcBorders>
              <w:top w:val="single" w:sz="4" w:space="0" w:color="000000"/>
              <w:left w:val="single" w:sz="4" w:space="0" w:color="000000"/>
              <w:bottom w:val="single" w:sz="4" w:space="0" w:color="000000"/>
            </w:tcBorders>
            <w:shd w:val="clear" w:color="auto" w:fill="auto"/>
          </w:tcPr>
          <w:p w14:paraId="1BF77781" w14:textId="77777777" w:rsidR="00AC3066" w:rsidRPr="00ED5C33" w:rsidRDefault="00DE655A">
            <w:pPr>
              <w:ind w:left="57" w:right="57"/>
              <w:contextualSpacing/>
              <w:rPr>
                <w:sz w:val="28"/>
                <w:szCs w:val="28"/>
              </w:rPr>
            </w:pPr>
            <w:r w:rsidRPr="00ED5C33">
              <w:rPr>
                <w:sz w:val="28"/>
                <w:szCs w:val="28"/>
              </w:rPr>
              <w:t>Projekta izpildes ietekme uz pārvaldes funkcijām un institucionālo struktūru.</w:t>
            </w:r>
          </w:p>
          <w:p w14:paraId="7FB0620E" w14:textId="77777777" w:rsidR="00AC3066" w:rsidRPr="00ED5C33" w:rsidRDefault="00DE655A">
            <w:pPr>
              <w:ind w:left="57" w:right="57"/>
              <w:contextualSpacing/>
              <w:rPr>
                <w:sz w:val="28"/>
                <w:szCs w:val="28"/>
              </w:rPr>
            </w:pPr>
            <w:r w:rsidRPr="00ED5C33">
              <w:rPr>
                <w:sz w:val="28"/>
                <w:szCs w:val="28"/>
              </w:rPr>
              <w:t xml:space="preserve">Jaunu institūciju izveide, esošu institūciju likvidācija </w:t>
            </w:r>
            <w:r w:rsidRPr="00ED5C33">
              <w:rPr>
                <w:sz w:val="28"/>
                <w:szCs w:val="28"/>
              </w:rPr>
              <w:lastRenderedPageBreak/>
              <w:t>vai reorga</w:t>
            </w:r>
            <w:r w:rsidRPr="00ED5C33">
              <w:rPr>
                <w:sz w:val="28"/>
                <w:szCs w:val="28"/>
              </w:rPr>
              <w:softHyphen/>
              <w:t>nizācija, to ietekme uz institūcijas cilvēkresursiem</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CAEBD41" w14:textId="77777777" w:rsidR="00AC3066" w:rsidRPr="00ED5C33" w:rsidRDefault="00DE655A" w:rsidP="00196872">
            <w:pPr>
              <w:pStyle w:val="FootnoteText"/>
              <w:spacing w:after="120"/>
              <w:ind w:firstLine="709"/>
              <w:jc w:val="both"/>
              <w:rPr>
                <w:sz w:val="28"/>
                <w:szCs w:val="28"/>
              </w:rPr>
            </w:pPr>
            <w:r w:rsidRPr="00ED5C33">
              <w:rPr>
                <w:sz w:val="28"/>
                <w:szCs w:val="28"/>
              </w:rPr>
              <w:lastRenderedPageBreak/>
              <w:t>Projekta izpilde neietekmēs institucionālo struktūru, kā arī iesaistīto institūciju funkcijas, uzdevumus un cilvēkresursus.</w:t>
            </w:r>
          </w:p>
          <w:p w14:paraId="469F3E5B" w14:textId="77777777" w:rsidR="00AC3066" w:rsidRPr="00ED5C33" w:rsidRDefault="00DE655A" w:rsidP="00196872">
            <w:pPr>
              <w:pStyle w:val="FootnoteText"/>
              <w:spacing w:after="120"/>
              <w:ind w:firstLine="709"/>
              <w:jc w:val="both"/>
              <w:rPr>
                <w:sz w:val="28"/>
                <w:szCs w:val="28"/>
              </w:rPr>
            </w:pPr>
            <w:r w:rsidRPr="00ED5C33">
              <w:rPr>
                <w:sz w:val="28"/>
                <w:szCs w:val="28"/>
              </w:rPr>
              <w:t xml:space="preserve">Ministru kabineta noteikumu projekts paredz deleģēt </w:t>
            </w:r>
            <w:proofErr w:type="spellStart"/>
            <w:r w:rsidRPr="00ED5C33">
              <w:rPr>
                <w:sz w:val="28"/>
                <w:szCs w:val="28"/>
              </w:rPr>
              <w:t>Possessor</w:t>
            </w:r>
            <w:proofErr w:type="spellEnd"/>
            <w:r w:rsidRPr="00ED5C33">
              <w:rPr>
                <w:sz w:val="28"/>
                <w:szCs w:val="28"/>
              </w:rPr>
              <w:t xml:space="preserve"> valsts pārvaldes uzdevumu. </w:t>
            </w:r>
            <w:proofErr w:type="spellStart"/>
            <w:r w:rsidRPr="00ED5C33">
              <w:rPr>
                <w:sz w:val="28"/>
                <w:szCs w:val="28"/>
              </w:rPr>
              <w:t>Possessor</w:t>
            </w:r>
            <w:proofErr w:type="spellEnd"/>
            <w:r w:rsidRPr="00ED5C33">
              <w:rPr>
                <w:sz w:val="28"/>
                <w:szCs w:val="28"/>
              </w:rPr>
              <w:t xml:space="preserve"> ir valsts pārvaldes uzdevuma veikšanai nepieciešamā materiāltehniskā bāze, pieredze, </w:t>
            </w:r>
            <w:r w:rsidRPr="00ED5C33">
              <w:rPr>
                <w:sz w:val="28"/>
                <w:szCs w:val="28"/>
              </w:rPr>
              <w:lastRenderedPageBreak/>
              <w:t>kompetents un kvalificēts personāls, pietiekoša kapacitāte.</w:t>
            </w:r>
          </w:p>
          <w:p w14:paraId="6627F76E" w14:textId="77777777" w:rsidR="00AC3066" w:rsidRPr="00ED5C33" w:rsidRDefault="00DE655A" w:rsidP="00196872">
            <w:pPr>
              <w:pStyle w:val="FootnoteText"/>
              <w:spacing w:after="120"/>
              <w:ind w:firstLine="709"/>
              <w:jc w:val="both"/>
              <w:rPr>
                <w:sz w:val="28"/>
                <w:szCs w:val="28"/>
              </w:rPr>
            </w:pPr>
            <w:r w:rsidRPr="00ED5C33">
              <w:rPr>
                <w:sz w:val="28"/>
                <w:szCs w:val="28"/>
              </w:rPr>
              <w:t xml:space="preserve">Veicot valsts pārvaldes uzdevumu, </w:t>
            </w:r>
            <w:proofErr w:type="spellStart"/>
            <w:r w:rsidRPr="00ED5C33">
              <w:rPr>
                <w:sz w:val="28"/>
                <w:szCs w:val="28"/>
              </w:rPr>
              <w:t>Possessor</w:t>
            </w:r>
            <w:proofErr w:type="spellEnd"/>
            <w:r w:rsidRPr="00ED5C33">
              <w:rPr>
                <w:sz w:val="28"/>
                <w:szCs w:val="28"/>
              </w:rPr>
              <w:t xml:space="preserve">  atradīsies Ekonomikas ministrijas funkcionālā pārraudzībā.</w:t>
            </w:r>
          </w:p>
          <w:p w14:paraId="264C3704" w14:textId="77777777" w:rsidR="00AC3066" w:rsidRPr="00ED5C33" w:rsidRDefault="00DE655A" w:rsidP="00196872">
            <w:pPr>
              <w:pStyle w:val="FootnoteText"/>
              <w:spacing w:after="120"/>
              <w:ind w:firstLine="709"/>
              <w:jc w:val="both"/>
              <w:rPr>
                <w:sz w:val="28"/>
                <w:szCs w:val="28"/>
              </w:rPr>
            </w:pPr>
            <w:r w:rsidRPr="00ED5C33">
              <w:rPr>
                <w:sz w:val="28"/>
                <w:szCs w:val="28"/>
              </w:rPr>
              <w:t>Jaunas institūcijas netiks izveidotas, esošās institūcijas netiks likvidētas vai reorganizētas.</w:t>
            </w:r>
            <w:r w:rsidR="005149C3" w:rsidRPr="00ED5C33">
              <w:rPr>
                <w:sz w:val="28"/>
                <w:szCs w:val="28"/>
              </w:rPr>
              <w:t xml:space="preserve"> Administratīvais slogs nepalielināsies.</w:t>
            </w:r>
          </w:p>
        </w:tc>
      </w:tr>
      <w:tr w:rsidR="00AC3066" w:rsidRPr="00ED5C33" w14:paraId="622D5913" w14:textId="77777777">
        <w:trPr>
          <w:trHeight w:val="402"/>
        </w:trPr>
        <w:tc>
          <w:tcPr>
            <w:tcW w:w="399" w:type="dxa"/>
            <w:tcBorders>
              <w:top w:val="single" w:sz="4" w:space="0" w:color="000000"/>
              <w:left w:val="single" w:sz="4" w:space="0" w:color="000000"/>
              <w:bottom w:val="single" w:sz="4" w:space="0" w:color="000000"/>
            </w:tcBorders>
            <w:shd w:val="clear" w:color="auto" w:fill="auto"/>
          </w:tcPr>
          <w:p w14:paraId="4A2F0B12" w14:textId="77777777" w:rsidR="00AC3066" w:rsidRPr="00ED5C33" w:rsidRDefault="00DE655A">
            <w:pPr>
              <w:ind w:left="57" w:right="57"/>
              <w:contextualSpacing/>
              <w:jc w:val="both"/>
              <w:rPr>
                <w:sz w:val="28"/>
                <w:szCs w:val="28"/>
              </w:rPr>
            </w:pPr>
            <w:r w:rsidRPr="00ED5C33">
              <w:rPr>
                <w:sz w:val="28"/>
                <w:szCs w:val="28"/>
              </w:rPr>
              <w:lastRenderedPageBreak/>
              <w:t>3.</w:t>
            </w:r>
          </w:p>
        </w:tc>
        <w:tc>
          <w:tcPr>
            <w:tcW w:w="2748" w:type="dxa"/>
            <w:tcBorders>
              <w:top w:val="single" w:sz="4" w:space="0" w:color="000000"/>
              <w:left w:val="single" w:sz="4" w:space="0" w:color="000000"/>
              <w:bottom w:val="single" w:sz="4" w:space="0" w:color="000000"/>
            </w:tcBorders>
            <w:shd w:val="clear" w:color="auto" w:fill="auto"/>
          </w:tcPr>
          <w:p w14:paraId="09C87F05" w14:textId="77777777" w:rsidR="00AC3066" w:rsidRPr="00ED5C33" w:rsidRDefault="00DE655A">
            <w:pPr>
              <w:ind w:left="57" w:right="57"/>
              <w:contextualSpacing/>
              <w:rPr>
                <w:sz w:val="28"/>
                <w:szCs w:val="28"/>
              </w:rPr>
            </w:pPr>
            <w:r w:rsidRPr="00ED5C33">
              <w:rPr>
                <w:sz w:val="28"/>
                <w:szCs w:val="28"/>
              </w:rPr>
              <w:t>Cita informācija</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BBD8F3F" w14:textId="77777777" w:rsidR="00AC3066" w:rsidRPr="00ED5C33" w:rsidRDefault="00DE655A">
            <w:pPr>
              <w:ind w:left="57" w:right="57"/>
              <w:contextualSpacing/>
              <w:jc w:val="both"/>
              <w:rPr>
                <w:sz w:val="28"/>
                <w:szCs w:val="28"/>
              </w:rPr>
            </w:pPr>
            <w:r w:rsidRPr="00ED5C33">
              <w:rPr>
                <w:sz w:val="28"/>
                <w:szCs w:val="28"/>
              </w:rPr>
              <w:t>Nav</w:t>
            </w:r>
          </w:p>
        </w:tc>
      </w:tr>
    </w:tbl>
    <w:p w14:paraId="65651A3E" w14:textId="670EC497" w:rsidR="00AC3066" w:rsidRDefault="00AC3066">
      <w:pPr>
        <w:contextualSpacing/>
        <w:jc w:val="both"/>
        <w:rPr>
          <w:sz w:val="28"/>
          <w:szCs w:val="28"/>
        </w:rPr>
      </w:pPr>
    </w:p>
    <w:p w14:paraId="3C98CD1E" w14:textId="77777777" w:rsidR="00ED5C33" w:rsidRPr="00ED5C33" w:rsidRDefault="00ED5C33">
      <w:pPr>
        <w:contextualSpacing/>
        <w:jc w:val="both"/>
        <w:rPr>
          <w:sz w:val="28"/>
          <w:szCs w:val="28"/>
        </w:rPr>
      </w:pPr>
    </w:p>
    <w:p w14:paraId="72ACA6B2" w14:textId="77777777" w:rsidR="00AC3066" w:rsidRPr="00ED5C33" w:rsidRDefault="00DE655A">
      <w:pPr>
        <w:suppressAutoHyphens/>
        <w:contextualSpacing/>
        <w:jc w:val="both"/>
        <w:rPr>
          <w:b/>
          <w:sz w:val="28"/>
          <w:szCs w:val="28"/>
          <w:lang w:eastAsia="ar-SA"/>
        </w:rPr>
      </w:pPr>
      <w:r w:rsidRPr="00ED5C33">
        <w:rPr>
          <w:b/>
          <w:sz w:val="28"/>
          <w:szCs w:val="28"/>
          <w:lang w:eastAsia="ar-SA"/>
        </w:rPr>
        <w:t>Iesniedzējs:</w:t>
      </w:r>
    </w:p>
    <w:p w14:paraId="6483E343" w14:textId="6437C509" w:rsidR="00AC3066" w:rsidRPr="00ED5C33" w:rsidRDefault="00ED5C33">
      <w:pPr>
        <w:tabs>
          <w:tab w:val="left" w:pos="7088"/>
        </w:tabs>
        <w:suppressAutoHyphens/>
        <w:contextualSpacing/>
        <w:jc w:val="both"/>
        <w:rPr>
          <w:b/>
          <w:sz w:val="28"/>
          <w:szCs w:val="28"/>
          <w:lang w:eastAsia="ar-SA"/>
        </w:rPr>
      </w:pPr>
      <w:r w:rsidRPr="00ED5C33">
        <w:rPr>
          <w:b/>
          <w:sz w:val="28"/>
          <w:szCs w:val="28"/>
          <w:lang w:eastAsia="ar-SA"/>
        </w:rPr>
        <w:t>E</w:t>
      </w:r>
      <w:r w:rsidR="00DE655A" w:rsidRPr="00ED5C33">
        <w:rPr>
          <w:b/>
          <w:sz w:val="28"/>
          <w:szCs w:val="28"/>
          <w:lang w:eastAsia="ar-SA"/>
        </w:rPr>
        <w:t>konomikas ministrs</w:t>
      </w:r>
      <w:r w:rsidR="00DE655A" w:rsidRPr="00ED5C33">
        <w:rPr>
          <w:b/>
          <w:sz w:val="28"/>
          <w:szCs w:val="28"/>
          <w:lang w:eastAsia="ar-SA"/>
        </w:rPr>
        <w:tab/>
        <w:t>Ralfs Nemiro</w:t>
      </w:r>
    </w:p>
    <w:p w14:paraId="32B2710F" w14:textId="4D01BFD4" w:rsidR="00AC3066" w:rsidRDefault="00AC3066">
      <w:pPr>
        <w:tabs>
          <w:tab w:val="left" w:pos="7088"/>
          <w:tab w:val="right" w:pos="9637"/>
        </w:tabs>
        <w:suppressAutoHyphens/>
        <w:contextualSpacing/>
        <w:jc w:val="both"/>
        <w:rPr>
          <w:b/>
          <w:sz w:val="28"/>
          <w:szCs w:val="28"/>
          <w:lang w:eastAsia="ar-SA"/>
        </w:rPr>
      </w:pPr>
    </w:p>
    <w:p w14:paraId="5729103D" w14:textId="77777777" w:rsidR="00ED5C33" w:rsidRPr="00ED5C33" w:rsidRDefault="00ED5C33">
      <w:pPr>
        <w:tabs>
          <w:tab w:val="left" w:pos="7088"/>
          <w:tab w:val="right" w:pos="9637"/>
        </w:tabs>
        <w:suppressAutoHyphens/>
        <w:contextualSpacing/>
        <w:jc w:val="both"/>
        <w:rPr>
          <w:b/>
          <w:sz w:val="28"/>
          <w:szCs w:val="28"/>
          <w:lang w:eastAsia="ar-SA"/>
        </w:rPr>
      </w:pPr>
    </w:p>
    <w:p w14:paraId="3CDA6EB6" w14:textId="77777777" w:rsidR="00AC3066" w:rsidRPr="00ED5C33" w:rsidRDefault="00DE655A">
      <w:pPr>
        <w:tabs>
          <w:tab w:val="left" w:pos="7088"/>
          <w:tab w:val="right" w:pos="9637"/>
        </w:tabs>
        <w:suppressAutoHyphens/>
        <w:contextualSpacing/>
        <w:jc w:val="both"/>
        <w:rPr>
          <w:b/>
          <w:sz w:val="28"/>
          <w:szCs w:val="28"/>
          <w:lang w:eastAsia="ar-SA"/>
        </w:rPr>
      </w:pPr>
      <w:r w:rsidRPr="00ED5C33">
        <w:rPr>
          <w:b/>
          <w:sz w:val="28"/>
          <w:szCs w:val="28"/>
          <w:lang w:eastAsia="ar-SA"/>
        </w:rPr>
        <w:t>Vīza:</w:t>
      </w:r>
    </w:p>
    <w:p w14:paraId="22D5FFFF" w14:textId="77777777" w:rsidR="00AC3066" w:rsidRPr="00ED5C33" w:rsidRDefault="00DE655A">
      <w:pPr>
        <w:tabs>
          <w:tab w:val="left" w:pos="7088"/>
          <w:tab w:val="right" w:pos="9637"/>
        </w:tabs>
        <w:suppressAutoHyphens/>
        <w:contextualSpacing/>
        <w:jc w:val="both"/>
        <w:rPr>
          <w:b/>
          <w:sz w:val="28"/>
          <w:szCs w:val="28"/>
          <w:lang w:eastAsia="ar-SA"/>
        </w:rPr>
      </w:pPr>
      <w:r w:rsidRPr="00ED5C33">
        <w:rPr>
          <w:b/>
          <w:sz w:val="28"/>
          <w:szCs w:val="28"/>
          <w:lang w:eastAsia="ar-SA"/>
        </w:rPr>
        <w:t>valsts sekretārs</w:t>
      </w:r>
      <w:r w:rsidRPr="00ED5C33">
        <w:rPr>
          <w:b/>
          <w:sz w:val="28"/>
          <w:szCs w:val="28"/>
          <w:lang w:eastAsia="ar-SA"/>
        </w:rPr>
        <w:tab/>
        <w:t>Ēriks Eglītis</w:t>
      </w:r>
    </w:p>
    <w:p w14:paraId="06CA938F" w14:textId="5D60E766" w:rsidR="00AC3066" w:rsidRDefault="00AC3066">
      <w:pPr>
        <w:suppressAutoHyphens/>
        <w:contextualSpacing/>
        <w:jc w:val="both"/>
        <w:rPr>
          <w:b/>
          <w:sz w:val="28"/>
          <w:szCs w:val="28"/>
          <w:highlight w:val="yellow"/>
          <w:lang w:eastAsia="ar-SA"/>
        </w:rPr>
      </w:pPr>
    </w:p>
    <w:p w14:paraId="699A1BD4" w14:textId="582A83CF" w:rsidR="00ED5C33" w:rsidRDefault="00ED5C33">
      <w:pPr>
        <w:suppressAutoHyphens/>
        <w:contextualSpacing/>
        <w:jc w:val="both"/>
        <w:rPr>
          <w:b/>
          <w:sz w:val="28"/>
          <w:szCs w:val="28"/>
          <w:highlight w:val="yellow"/>
          <w:lang w:eastAsia="ar-SA"/>
        </w:rPr>
      </w:pPr>
    </w:p>
    <w:p w14:paraId="720F7656" w14:textId="563BAEC9" w:rsidR="00ED5C33" w:rsidRDefault="00ED5C33">
      <w:pPr>
        <w:suppressAutoHyphens/>
        <w:contextualSpacing/>
        <w:jc w:val="both"/>
        <w:rPr>
          <w:b/>
          <w:sz w:val="28"/>
          <w:szCs w:val="28"/>
          <w:highlight w:val="yellow"/>
          <w:lang w:eastAsia="ar-SA"/>
        </w:rPr>
      </w:pPr>
    </w:p>
    <w:p w14:paraId="24C1E41F" w14:textId="77777777" w:rsidR="00ED5C33" w:rsidRPr="00ED5C33" w:rsidRDefault="00ED5C33">
      <w:pPr>
        <w:suppressAutoHyphens/>
        <w:contextualSpacing/>
        <w:jc w:val="both"/>
        <w:rPr>
          <w:b/>
          <w:sz w:val="28"/>
          <w:szCs w:val="28"/>
          <w:highlight w:val="yellow"/>
          <w:lang w:eastAsia="ar-SA"/>
        </w:rPr>
      </w:pPr>
    </w:p>
    <w:p w14:paraId="4EA0881B" w14:textId="0B7041EB" w:rsidR="00AC3066" w:rsidRPr="003019D6" w:rsidRDefault="00DE655A">
      <w:pPr>
        <w:contextualSpacing/>
      </w:pPr>
      <w:r w:rsidRPr="003019D6">
        <w:t>Lore 67013207</w:t>
      </w:r>
      <w:r w:rsidR="00ED5C33">
        <w:t xml:space="preserve">, </w:t>
      </w:r>
      <w:r w:rsidRPr="003019D6">
        <w:rPr>
          <w:rStyle w:val="InternetLink"/>
          <w:color w:val="000000"/>
          <w:u w:val="none"/>
        </w:rPr>
        <w:t>Kaspars.Lore@em.gov.lv</w:t>
      </w:r>
    </w:p>
    <w:sectPr w:rsidR="00AC3066" w:rsidRPr="003019D6">
      <w:headerReference w:type="default" r:id="rId7"/>
      <w:footerReference w:type="default" r:id="rId8"/>
      <w:footerReference w:type="first" r:id="rId9"/>
      <w:pgSz w:w="11906" w:h="16838"/>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B32B" w14:textId="77777777" w:rsidR="00577A9E" w:rsidRDefault="00577A9E">
      <w:r>
        <w:separator/>
      </w:r>
    </w:p>
  </w:endnote>
  <w:endnote w:type="continuationSeparator" w:id="0">
    <w:p w14:paraId="56308EEF" w14:textId="77777777" w:rsidR="00577A9E" w:rsidRDefault="005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8E79" w14:textId="716F7E5E" w:rsidR="00ED5C33" w:rsidRPr="00E228E8" w:rsidRDefault="00ED5C33" w:rsidP="00ED5C33">
    <w:pPr>
      <w:shd w:val="clear" w:color="auto" w:fill="FFFFFF"/>
      <w:spacing w:after="120"/>
      <w:jc w:val="both"/>
      <w:rPr>
        <w:lang w:eastAsia="lv-LV"/>
      </w:rPr>
    </w:pPr>
    <w:r w:rsidRPr="00E228E8">
      <w:t>EM</w:t>
    </w:r>
    <w:r>
      <w:t>Anot</w:t>
    </w:r>
    <w:r w:rsidRPr="00E228E8">
      <w:t>_</w:t>
    </w:r>
    <w:r w:rsidR="00486FAA">
      <w:t>0309</w:t>
    </w:r>
    <w:r w:rsidRPr="00E228E8">
      <w:t>19_dzivokli</w:t>
    </w:r>
    <w:r w:rsidR="00486FAA">
      <w:t>s</w:t>
    </w:r>
    <w:r w:rsidRPr="00E228E8">
      <w:t>; Ministru kabineta noteikuma projekt</w:t>
    </w:r>
    <w:r>
      <w:t>a</w:t>
    </w:r>
    <w:r w:rsidRPr="00E228E8">
      <w:t xml:space="preserve"> “</w:t>
    </w:r>
    <w:r w:rsidRPr="00E228E8">
      <w:rPr>
        <w:lang w:eastAsia="lv-LV"/>
      </w:rPr>
      <w:t>Noteikumi par valsts dzīvojamo māju privatizāciju veicošās institūcijas pārvaldes uzdevuma deleģēšanu”</w:t>
    </w:r>
    <w:r>
      <w:rPr>
        <w:lang w:eastAsia="lv-LV"/>
      </w:rPr>
      <w:t xml:space="preserve">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D993" w14:textId="76D2F00F" w:rsidR="00E228E8" w:rsidRPr="00E228E8" w:rsidRDefault="00E228E8" w:rsidP="00E228E8">
    <w:pPr>
      <w:shd w:val="clear" w:color="auto" w:fill="FFFFFF"/>
      <w:spacing w:after="120"/>
      <w:jc w:val="both"/>
      <w:rPr>
        <w:lang w:eastAsia="lv-LV"/>
      </w:rPr>
    </w:pPr>
    <w:r w:rsidRPr="00E228E8">
      <w:t>EM</w:t>
    </w:r>
    <w:r>
      <w:t>Anot</w:t>
    </w:r>
    <w:r w:rsidRPr="00E228E8">
      <w:t>_</w:t>
    </w:r>
    <w:r w:rsidR="00486FAA">
      <w:t>0309</w:t>
    </w:r>
    <w:r w:rsidRPr="00E228E8">
      <w:t>19_dzivokli</w:t>
    </w:r>
    <w:r w:rsidR="00486FAA">
      <w:t>s</w:t>
    </w:r>
    <w:r w:rsidRPr="00E228E8">
      <w:t>; Ministru kabineta noteikuma projekt</w:t>
    </w:r>
    <w:r>
      <w:t>a</w:t>
    </w:r>
    <w:r w:rsidRPr="00E228E8">
      <w:t xml:space="preserve"> “</w:t>
    </w:r>
    <w:r w:rsidRPr="00E228E8">
      <w:rPr>
        <w:lang w:eastAsia="lv-LV"/>
      </w:rPr>
      <w:t>Noteikumi par valsts dzīvojamo māju privatizāciju veicošās institūcijas pārvaldes uzdevuma deleģēšanu”</w:t>
    </w:r>
    <w:r>
      <w:rPr>
        <w:lang w:eastAsia="lv-LV"/>
      </w:rPr>
      <w:t xml:space="preserve"> sākotnējās ietekmes novērtējuma ziņojums</w:t>
    </w:r>
    <w:r w:rsidR="00ED5C33">
      <w:rPr>
        <w:lang w:eastAsia="lv-LV"/>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F858" w14:textId="77777777" w:rsidR="00577A9E" w:rsidRDefault="00577A9E">
      <w:r>
        <w:separator/>
      </w:r>
    </w:p>
  </w:footnote>
  <w:footnote w:type="continuationSeparator" w:id="0">
    <w:p w14:paraId="07C8FA45" w14:textId="77777777" w:rsidR="00577A9E" w:rsidRDefault="005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1F53" w14:textId="77777777" w:rsidR="00AC3066" w:rsidRDefault="00DE655A">
    <w:pPr>
      <w:pStyle w:val="Header"/>
      <w:jc w:val="center"/>
    </w:pPr>
    <w:r>
      <w:fldChar w:fldCharType="begin"/>
    </w:r>
    <w:r>
      <w:instrText>PAGE</w:instrText>
    </w:r>
    <w:r>
      <w:fldChar w:fldCharType="separate"/>
    </w:r>
    <w:r w:rsidR="003E29EA">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4202"/>
    <w:multiLevelType w:val="multilevel"/>
    <w:tmpl w:val="1972A8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9E79A6"/>
    <w:multiLevelType w:val="multilevel"/>
    <w:tmpl w:val="2CB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66"/>
    <w:rsid w:val="0005046C"/>
    <w:rsid w:val="00060D04"/>
    <w:rsid w:val="000838E1"/>
    <w:rsid w:val="000A1F2C"/>
    <w:rsid w:val="000B5581"/>
    <w:rsid w:val="000C3ECD"/>
    <w:rsid w:val="000D7B4F"/>
    <w:rsid w:val="000E0E3A"/>
    <w:rsid w:val="000F1841"/>
    <w:rsid w:val="001056FE"/>
    <w:rsid w:val="00150ED6"/>
    <w:rsid w:val="00196872"/>
    <w:rsid w:val="001A16EC"/>
    <w:rsid w:val="002113FA"/>
    <w:rsid w:val="002311CC"/>
    <w:rsid w:val="00232D9F"/>
    <w:rsid w:val="00245D6B"/>
    <w:rsid w:val="00254F70"/>
    <w:rsid w:val="0029142E"/>
    <w:rsid w:val="002B2D2E"/>
    <w:rsid w:val="002B507C"/>
    <w:rsid w:val="002D443D"/>
    <w:rsid w:val="002E4D4C"/>
    <w:rsid w:val="003019D6"/>
    <w:rsid w:val="00307716"/>
    <w:rsid w:val="003400AB"/>
    <w:rsid w:val="003541E0"/>
    <w:rsid w:val="00373E19"/>
    <w:rsid w:val="003742CD"/>
    <w:rsid w:val="003743C1"/>
    <w:rsid w:val="003844E3"/>
    <w:rsid w:val="003923EC"/>
    <w:rsid w:val="003A1414"/>
    <w:rsid w:val="003E29EA"/>
    <w:rsid w:val="00401D3C"/>
    <w:rsid w:val="00402097"/>
    <w:rsid w:val="00402A84"/>
    <w:rsid w:val="00415AA7"/>
    <w:rsid w:val="00432F8D"/>
    <w:rsid w:val="00434E83"/>
    <w:rsid w:val="00486FAA"/>
    <w:rsid w:val="004C1DDC"/>
    <w:rsid w:val="004D7105"/>
    <w:rsid w:val="004E4785"/>
    <w:rsid w:val="005149C3"/>
    <w:rsid w:val="00540955"/>
    <w:rsid w:val="00554DDD"/>
    <w:rsid w:val="00575F1E"/>
    <w:rsid w:val="00576733"/>
    <w:rsid w:val="00577A9E"/>
    <w:rsid w:val="00593E5D"/>
    <w:rsid w:val="005B4A15"/>
    <w:rsid w:val="005E4A5F"/>
    <w:rsid w:val="00603C47"/>
    <w:rsid w:val="006255FB"/>
    <w:rsid w:val="00631F6F"/>
    <w:rsid w:val="00641AA0"/>
    <w:rsid w:val="00641E09"/>
    <w:rsid w:val="00645B01"/>
    <w:rsid w:val="0064604C"/>
    <w:rsid w:val="0068184C"/>
    <w:rsid w:val="00683EB1"/>
    <w:rsid w:val="006928DC"/>
    <w:rsid w:val="006B7404"/>
    <w:rsid w:val="006D6881"/>
    <w:rsid w:val="00715ABB"/>
    <w:rsid w:val="0074554D"/>
    <w:rsid w:val="00762BEC"/>
    <w:rsid w:val="00767488"/>
    <w:rsid w:val="00770394"/>
    <w:rsid w:val="00774AE5"/>
    <w:rsid w:val="007773D1"/>
    <w:rsid w:val="007A185E"/>
    <w:rsid w:val="007C2DA3"/>
    <w:rsid w:val="007F6DC4"/>
    <w:rsid w:val="00810B11"/>
    <w:rsid w:val="00863990"/>
    <w:rsid w:val="00865B74"/>
    <w:rsid w:val="008705EC"/>
    <w:rsid w:val="0088176F"/>
    <w:rsid w:val="00885DA8"/>
    <w:rsid w:val="008B798E"/>
    <w:rsid w:val="008C5DA6"/>
    <w:rsid w:val="008C7281"/>
    <w:rsid w:val="008C7B96"/>
    <w:rsid w:val="008D4ABC"/>
    <w:rsid w:val="008D7122"/>
    <w:rsid w:val="009016BE"/>
    <w:rsid w:val="009040D8"/>
    <w:rsid w:val="00986B12"/>
    <w:rsid w:val="009C66D3"/>
    <w:rsid w:val="009C74BF"/>
    <w:rsid w:val="00A91617"/>
    <w:rsid w:val="00A92F30"/>
    <w:rsid w:val="00AB29B0"/>
    <w:rsid w:val="00AC3066"/>
    <w:rsid w:val="00AD24F5"/>
    <w:rsid w:val="00AE0305"/>
    <w:rsid w:val="00AE29A1"/>
    <w:rsid w:val="00AE69D9"/>
    <w:rsid w:val="00AF798B"/>
    <w:rsid w:val="00B05CD4"/>
    <w:rsid w:val="00B36F90"/>
    <w:rsid w:val="00B463E9"/>
    <w:rsid w:val="00B66CD2"/>
    <w:rsid w:val="00BC6912"/>
    <w:rsid w:val="00BE6894"/>
    <w:rsid w:val="00C049DC"/>
    <w:rsid w:val="00C65853"/>
    <w:rsid w:val="00C77D4E"/>
    <w:rsid w:val="00C9145E"/>
    <w:rsid w:val="00CB15D7"/>
    <w:rsid w:val="00CE468C"/>
    <w:rsid w:val="00CE4B94"/>
    <w:rsid w:val="00D15B7F"/>
    <w:rsid w:val="00D32F7B"/>
    <w:rsid w:val="00D374D9"/>
    <w:rsid w:val="00D56604"/>
    <w:rsid w:val="00D70729"/>
    <w:rsid w:val="00D723FD"/>
    <w:rsid w:val="00D7489C"/>
    <w:rsid w:val="00D90F12"/>
    <w:rsid w:val="00D9705E"/>
    <w:rsid w:val="00D97887"/>
    <w:rsid w:val="00DD75BE"/>
    <w:rsid w:val="00DE655A"/>
    <w:rsid w:val="00DF4CA9"/>
    <w:rsid w:val="00E228E8"/>
    <w:rsid w:val="00E46A69"/>
    <w:rsid w:val="00E63876"/>
    <w:rsid w:val="00E660A5"/>
    <w:rsid w:val="00E86205"/>
    <w:rsid w:val="00E9307E"/>
    <w:rsid w:val="00EB7D7F"/>
    <w:rsid w:val="00ED5C33"/>
    <w:rsid w:val="00F030D0"/>
    <w:rsid w:val="00F0446F"/>
    <w:rsid w:val="00F90DF2"/>
    <w:rsid w:val="00FC71C4"/>
    <w:rsid w:val="00FD29BB"/>
    <w:rsid w:val="00FF40C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EA49"/>
  <w15:docId w15:val="{55E3E282-96F3-4D0B-AB17-AA07BDE2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BalloonTextChar">
    <w:name w:val="Balloon Text Char"/>
    <w:qFormat/>
    <w:rPr>
      <w:rFonts w:ascii="Tahoma" w:hAnsi="Tahoma" w:cs="Tahoma"/>
      <w:sz w:val="16"/>
      <w:szCs w:val="16"/>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uiPriority w:val="99"/>
    <w:qFormat/>
  </w:style>
  <w:style w:type="character" w:customStyle="1" w:styleId="CommentSubjectChar">
    <w:name w:val="Comment Subject Char"/>
    <w:qFormat/>
    <w:rPr>
      <w:b/>
      <w:bCs/>
    </w:rPr>
  </w:style>
  <w:style w:type="character" w:customStyle="1" w:styleId="UnresolvedMention1">
    <w:name w:val="Unresolved Mention1"/>
    <w:qFormat/>
    <w:rPr>
      <w:color w:val="808080"/>
      <w:shd w:val="clear" w:color="auto" w:fill="E6E6E6"/>
    </w:rPr>
  </w:style>
  <w:style w:type="character" w:customStyle="1" w:styleId="HeaderChar">
    <w:name w:val="Header Char"/>
    <w:qFormat/>
    <w:rPr>
      <w:sz w:val="24"/>
      <w:szCs w:val="24"/>
    </w:rPr>
  </w:style>
  <w:style w:type="character" w:customStyle="1" w:styleId="VisitedInternetLink">
    <w:name w:val="Visited Internet Link"/>
    <w:rPr>
      <w:color w:val="954F72"/>
      <w:u w:val="single"/>
    </w:rPr>
  </w:style>
  <w:style w:type="character" w:customStyle="1" w:styleId="Heading3Char">
    <w:name w:val="Heading 3 Char"/>
    <w:qFormat/>
    <w:rPr>
      <w:b/>
      <w:bCs/>
      <w:sz w:val="27"/>
      <w:szCs w:val="27"/>
    </w:rPr>
  </w:style>
  <w:style w:type="character" w:customStyle="1" w:styleId="FootnoteTextChar">
    <w:name w:val="Footnote Text Char"/>
    <w:basedOn w:val="DefaultParagraphFont"/>
    <w:qFormat/>
  </w:style>
  <w:style w:type="paragraph" w:customStyle="1" w:styleId="Heading">
    <w:name w:val="Heading"/>
    <w:basedOn w:val="Normal"/>
    <w:next w:val="BodyText"/>
    <w:qFormat/>
    <w:pPr>
      <w:jc w:val="center"/>
    </w:pPr>
    <w:rPr>
      <w:b/>
      <w:bCs/>
      <w:sz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BodyText14ptFirstline127cm">
    <w:name w:val="Style Body Text + 14 pt First line:  127 cm"/>
    <w:basedOn w:val="BodyText"/>
    <w:qFormat/>
    <w:pPr>
      <w:ind w:firstLine="720"/>
      <w:jc w:val="both"/>
    </w:pPr>
    <w:rPr>
      <w:sz w:val="28"/>
      <w:szCs w:val="20"/>
    </w:rPr>
  </w:style>
  <w:style w:type="paragraph" w:customStyle="1" w:styleId="naisf">
    <w:name w:val="naisf"/>
    <w:basedOn w:val="Normal"/>
    <w:qFormat/>
    <w:pPr>
      <w:spacing w:before="75" w:after="75"/>
      <w:ind w:firstLine="375"/>
      <w:jc w:val="both"/>
    </w:pPr>
  </w:style>
  <w:style w:type="paragraph" w:styleId="BalloonText">
    <w:name w:val="Balloon Text"/>
    <w:basedOn w:val="Normal"/>
    <w:qFormat/>
    <w:rPr>
      <w:rFonts w:ascii="Tahoma" w:hAnsi="Tahoma" w:cs="Tahoma"/>
      <w:sz w:val="16"/>
      <w:szCs w:val="16"/>
    </w:rPr>
  </w:style>
  <w:style w:type="paragraph" w:customStyle="1" w:styleId="RakstzRakstzRakstzRakstz">
    <w:name w:val="Rakstz. Rakstz. Rakstz. Rakstz."/>
    <w:basedOn w:val="Normal"/>
    <w:qFormat/>
    <w:pPr>
      <w:spacing w:before="40"/>
    </w:pPr>
    <w:rPr>
      <w:sz w:val="28"/>
      <w:szCs w:val="20"/>
    </w:rPr>
  </w:style>
  <w:style w:type="paragraph" w:styleId="CommentText">
    <w:name w:val="annotation text"/>
    <w:basedOn w:val="Normal"/>
    <w:uiPriority w:val="99"/>
    <w:qFormat/>
    <w:rPr>
      <w:sz w:val="20"/>
      <w:szCs w:val="20"/>
    </w:rPr>
  </w:style>
  <w:style w:type="paragraph" w:styleId="CommentSubject">
    <w:name w:val="annotation subject"/>
    <w:basedOn w:val="CommentText"/>
    <w:next w:val="CommentText"/>
    <w:qFormat/>
    <w:rPr>
      <w:b/>
      <w:bCs/>
    </w:rPr>
  </w:style>
  <w:style w:type="paragraph" w:styleId="Revision">
    <w:name w:val="Revision"/>
    <w:qFormat/>
    <w:rPr>
      <w:rFonts w:ascii="Times New Roman" w:eastAsia="Times New Roman" w:hAnsi="Times New Roman" w:cs="Times New Roman"/>
      <w:sz w:val="24"/>
      <w:lang w:bidi="ar-SA"/>
    </w:rPr>
  </w:style>
  <w:style w:type="paragraph" w:styleId="FootnoteText">
    <w:name w:val="footnote text"/>
    <w:basedOn w:val="Normal"/>
    <w:rPr>
      <w:sz w:val="20"/>
      <w:szCs w:val="20"/>
    </w:rPr>
  </w:style>
  <w:style w:type="paragraph" w:customStyle="1" w:styleId="tv213">
    <w:name w:val="tv213"/>
    <w:basedOn w:val="Normal"/>
    <w:qFormat/>
    <w:pPr>
      <w:spacing w:before="280" w:after="280"/>
    </w:pPr>
  </w:style>
  <w:style w:type="paragraph" w:customStyle="1" w:styleId="naiskr">
    <w:name w:val="naiskr"/>
    <w:basedOn w:val="Normal"/>
    <w:qFormat/>
    <w:pPr>
      <w:spacing w:before="75" w:after="75"/>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653071487">
      <w:bodyDiv w:val="1"/>
      <w:marLeft w:val="0"/>
      <w:marRight w:val="0"/>
      <w:marTop w:val="0"/>
      <w:marBottom w:val="0"/>
      <w:divBdr>
        <w:top w:val="none" w:sz="0" w:space="0" w:color="auto"/>
        <w:left w:val="none" w:sz="0" w:space="0" w:color="auto"/>
        <w:bottom w:val="none" w:sz="0" w:space="0" w:color="auto"/>
        <w:right w:val="none" w:sz="0" w:space="0" w:color="auto"/>
      </w:divBdr>
    </w:div>
    <w:div w:id="920796329">
      <w:bodyDiv w:val="1"/>
      <w:marLeft w:val="0"/>
      <w:marRight w:val="0"/>
      <w:marTop w:val="0"/>
      <w:marBottom w:val="0"/>
      <w:divBdr>
        <w:top w:val="none" w:sz="0" w:space="0" w:color="auto"/>
        <w:left w:val="none" w:sz="0" w:space="0" w:color="auto"/>
        <w:bottom w:val="none" w:sz="0" w:space="0" w:color="auto"/>
        <w:right w:val="none" w:sz="0" w:space="0" w:color="auto"/>
      </w:divBdr>
    </w:div>
    <w:div w:id="1436944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10952</Words>
  <Characters>6243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Likumprojekta “Grozījumi likumā "Par valsts un pašvaldību īpašuma objektu privatizāciju" sākotnējās ietekmes novērtējuma ziņojums (anotācija)</vt:lpstr>
    </vt:vector>
  </TitlesOfParts>
  <Company>Latvia Privatisation Agency</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un pašvaldību īpašuma objektu privatizāciju" sākotnējās ietekmes novērtējuma ziņojums (anotācija)</dc:title>
  <dc:subject>Anotācija</dc:subject>
  <dc:creator>Sandra Jersova</dc:creator>
  <cp:lastModifiedBy>Laimdota Adlere</cp:lastModifiedBy>
  <cp:revision>2</cp:revision>
  <cp:lastPrinted>2019-09-03T15:11:00Z</cp:lastPrinted>
  <dcterms:created xsi:type="dcterms:W3CDTF">2019-09-04T12:20:00Z</dcterms:created>
  <dcterms:modified xsi:type="dcterms:W3CDTF">2019-09-04T12:20:00Z</dcterms:modified>
  <dc:language>lv-LV</dc:language>
</cp:coreProperties>
</file>